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a-human-document" w:name="a-human-document"/>
    <w:p>
      <w:pPr>
        <w:pStyle w:val="Heading1"/>
      </w:pPr>
      <w:r>
        <w:t xml:space="preserve">A Human Document</w:t>
      </w:r>
    </w:p>
    <w:bookmarkEnd w:id="a-human-document"/>
    <w:p>
      <w:r>
        <w:rPr>
          <w:b/>
        </w:rPr>
        <w:t xml:space="preserve">By Dorothy Day</w:t>
      </w:r>
    </w:p>
    <w:p>
      <w:r>
        <w:t xml:space="preserve">The Sign, 12 (November 1932):223-224.</w:t>
      </w:r>
    </w:p>
    <w:p>
      <w:r>
        <w:rPr>
          <w:i/>
        </w:rPr>
        <w:t xml:space="preserve">Summary: A short autobiography, highlighting those experiences which have shown "the different times and ways that God has sought (her) soul." Examples of these are the influences of other Catholics, the birth of her child, and the loss of her husband. (DDLW #37).</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