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bout-mary" w:name="about-mary"/>
    <w:p>
      <w:pPr>
        <w:pStyle w:val="Heading1"/>
      </w:pPr>
      <w:r>
        <w:t xml:space="preserve">About Mary</w:t>
      </w:r>
    </w:p>
    <w:bookmarkEnd w:id="about-mary"/>
    <w:p>
      <w:r>
        <w:rPr>
          <w:b/>
        </w:rPr>
        <w:t xml:space="preserve">By Dorothy Day</w:t>
      </w:r>
    </w:p>
    <w:p>
      <w:r>
        <w:t xml:space="preserve">Commonweal, 39 (November 5, 1943):140,141.</w:t>
      </w:r>
    </w:p>
    <w:p>
      <w:r>
        <w:rPr>
          <w:i/>
        </w:rPr>
        <w:t xml:space="preserve">Summary: Depicts herself as an inadequate homemaker and turns her daughter (Tamar) over to the Virgin Mary as protector of her child. Describes how the first rosary and statue of Mary were given to her by Communists. (DDLW #76).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