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oup-bread-and-smiles" w:name="soup-bread-and-smiles"/>
    <w:p>
      <w:pPr>
        <w:pStyle w:val="Heading1"/>
      </w:pPr>
      <w:r>
        <w:t xml:space="preserve">Soup, Bread and Smiles</w:t>
      </w:r>
    </w:p>
    <w:bookmarkEnd w:id="soup-bread-and-smiles"/>
    <w:p>
      <w:r>
        <w:rPr>
          <w:b/>
        </w:rPr>
        <w:t xml:space="preserve">By Dorothy Day</w:t>
      </w:r>
    </w:p>
    <w:p>
      <w:r>
        <w:t xml:space="preserve">The Grail, 35 (December 1953):36-41.</w:t>
      </w:r>
    </w:p>
    <w:p>
      <w:r>
        <w:rPr>
          <w:i/>
        </w:rPr>
        <w:t xml:space="preserve">Summary: Underscores the importance that to understand poverty one must live in poverty. Gives reasons for loving the poor and comments on the unjust distribution of the system. Tells stories of the destitute brought to the C.W. and recognizes God's real presence in the poor. (DDLW #93).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