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A9" w:rsidRDefault="00B113A9" w:rsidP="00604081">
      <w:pPr>
        <w:pStyle w:val="Title"/>
        <w:jc w:val="center"/>
      </w:pPr>
      <w:r>
        <w:t>Minnesota Metadata Editor (MME) Issue</w:t>
      </w:r>
      <w:r w:rsidR="00A07BD9">
        <w:t>s</w:t>
      </w:r>
      <w:r w:rsidR="00604081">
        <w:t xml:space="preserve"> Shortlist</w:t>
      </w:r>
    </w:p>
    <w:p w:rsidR="00D46FA2" w:rsidRDefault="00494BA8" w:rsidP="00D46FA2">
      <w:r>
        <w:t>May 1</w:t>
      </w:r>
      <w:r w:rsidR="00420D0D">
        <w:t>5</w:t>
      </w:r>
      <w:r w:rsidR="00D46FA2">
        <w:t xml:space="preserve">, 2014 </w:t>
      </w:r>
    </w:p>
    <w:p w:rsidR="00D46FA2" w:rsidRDefault="00494BA8" w:rsidP="00D46FA2">
      <w:r>
        <w:t>Chris Cialek and Nancy Rader</w:t>
      </w:r>
    </w:p>
    <w:p w:rsidR="00D46FA2" w:rsidRDefault="00D46FA2" w:rsidP="00D46FA2"/>
    <w:p w:rsidR="00D46FA2" w:rsidRPr="00D46FA2" w:rsidRDefault="00D46FA2" w:rsidP="00D46FA2">
      <w:pPr>
        <w:pStyle w:val="Heading3"/>
      </w:pPr>
      <w:r>
        <w:t>ISSUE STATUS KEY</w:t>
      </w:r>
    </w:p>
    <w:p w:rsidR="00E86818" w:rsidRDefault="00E86818" w:rsidP="00E86818"/>
    <w:tbl>
      <w:tblPr>
        <w:tblStyle w:val="TableGrid"/>
        <w:tblW w:w="0" w:type="auto"/>
        <w:tblLook w:val="04A0" w:firstRow="1" w:lastRow="0" w:firstColumn="1" w:lastColumn="0" w:noHBand="0" w:noVBand="1"/>
      </w:tblPr>
      <w:tblGrid>
        <w:gridCol w:w="1094"/>
        <w:gridCol w:w="8374"/>
      </w:tblGrid>
      <w:tr w:rsidR="00E86818" w:rsidTr="00FF6A3A">
        <w:trPr>
          <w:cantSplit/>
          <w:trHeight w:hRule="exact" w:val="576"/>
        </w:trPr>
        <w:tc>
          <w:tcPr>
            <w:tcW w:w="1094" w:type="dxa"/>
            <w:tcBorders>
              <w:bottom w:val="single" w:sz="4" w:space="0" w:color="auto"/>
            </w:tcBorders>
            <w:shd w:val="clear" w:color="auto" w:fill="C2D69B" w:themeFill="accent3" w:themeFillTint="99"/>
            <w:vAlign w:val="center"/>
          </w:tcPr>
          <w:p w:rsidR="00F72800" w:rsidRDefault="00F72800" w:rsidP="00FF6A3A"/>
        </w:tc>
        <w:tc>
          <w:tcPr>
            <w:tcW w:w="8374" w:type="dxa"/>
            <w:tcBorders>
              <w:top w:val="nil"/>
              <w:bottom w:val="nil"/>
              <w:right w:val="nil"/>
            </w:tcBorders>
            <w:vAlign w:val="center"/>
          </w:tcPr>
          <w:p w:rsidR="00E86818" w:rsidRDefault="00E86818" w:rsidP="00FF6A3A">
            <w:r>
              <w:t>Met Council agrees to repair/correct</w:t>
            </w:r>
          </w:p>
        </w:tc>
      </w:tr>
      <w:tr w:rsidR="00E86818" w:rsidTr="00FF6A3A">
        <w:trPr>
          <w:cantSplit/>
          <w:trHeight w:hRule="exact" w:val="576"/>
        </w:trPr>
        <w:tc>
          <w:tcPr>
            <w:tcW w:w="1094" w:type="dxa"/>
            <w:tcBorders>
              <w:bottom w:val="single" w:sz="4" w:space="0" w:color="auto"/>
            </w:tcBorders>
            <w:shd w:val="clear" w:color="auto" w:fill="FABF8F" w:themeFill="accent6" w:themeFillTint="99"/>
            <w:vAlign w:val="center"/>
          </w:tcPr>
          <w:p w:rsidR="00F72800" w:rsidRDefault="00F72800" w:rsidP="00FF6A3A"/>
        </w:tc>
        <w:tc>
          <w:tcPr>
            <w:tcW w:w="8374" w:type="dxa"/>
            <w:tcBorders>
              <w:top w:val="nil"/>
              <w:bottom w:val="nil"/>
              <w:right w:val="nil"/>
            </w:tcBorders>
            <w:vAlign w:val="center"/>
          </w:tcPr>
          <w:p w:rsidR="00E86818" w:rsidRDefault="00E86818" w:rsidP="00FF6A3A">
            <w:proofErr w:type="spellStart"/>
            <w:r>
              <w:t>MnGeo</w:t>
            </w:r>
            <w:proofErr w:type="spellEnd"/>
            <w:r>
              <w:t xml:space="preserve"> </w:t>
            </w:r>
            <w:r w:rsidR="00C71960">
              <w:t>a</w:t>
            </w:r>
            <w:r>
              <w:t xml:space="preserve">ction </w:t>
            </w:r>
            <w:r w:rsidR="00C71960">
              <w:t>r</w:t>
            </w:r>
            <w:r>
              <w:t>equired</w:t>
            </w:r>
          </w:p>
        </w:tc>
      </w:tr>
      <w:tr w:rsidR="00E86818" w:rsidTr="00FF6A3A">
        <w:trPr>
          <w:cantSplit/>
          <w:trHeight w:hRule="exact" w:val="576"/>
        </w:trPr>
        <w:tc>
          <w:tcPr>
            <w:tcW w:w="1094" w:type="dxa"/>
            <w:tcBorders>
              <w:bottom w:val="single" w:sz="4" w:space="0" w:color="auto"/>
            </w:tcBorders>
            <w:shd w:val="clear" w:color="auto" w:fill="C6D9F1" w:themeFill="text2" w:themeFillTint="33"/>
            <w:vAlign w:val="center"/>
          </w:tcPr>
          <w:p w:rsidR="00E86818" w:rsidRDefault="00E86818" w:rsidP="00FF6A3A"/>
        </w:tc>
        <w:tc>
          <w:tcPr>
            <w:tcW w:w="8374" w:type="dxa"/>
            <w:tcBorders>
              <w:top w:val="nil"/>
              <w:bottom w:val="nil"/>
              <w:right w:val="nil"/>
            </w:tcBorders>
            <w:vAlign w:val="center"/>
          </w:tcPr>
          <w:p w:rsidR="00E86818" w:rsidRDefault="00E86818" w:rsidP="00FF6A3A">
            <w:proofErr w:type="spellStart"/>
            <w:r>
              <w:t>MnGeo</w:t>
            </w:r>
            <w:proofErr w:type="spellEnd"/>
            <w:r>
              <w:t xml:space="preserve"> believes repair/correction important; Met Council not a source for remedy</w:t>
            </w:r>
          </w:p>
        </w:tc>
      </w:tr>
      <w:tr w:rsidR="00C71960" w:rsidTr="00FF6A3A">
        <w:trPr>
          <w:cantSplit/>
          <w:trHeight w:hRule="exact" w:val="576"/>
        </w:trPr>
        <w:tc>
          <w:tcPr>
            <w:tcW w:w="1094" w:type="dxa"/>
            <w:shd w:val="clear" w:color="auto" w:fill="CCC0D9" w:themeFill="accent4" w:themeFillTint="66"/>
            <w:vAlign w:val="center"/>
          </w:tcPr>
          <w:p w:rsidR="00C71960" w:rsidRDefault="00C71960" w:rsidP="00FF6A3A"/>
        </w:tc>
        <w:tc>
          <w:tcPr>
            <w:tcW w:w="8374" w:type="dxa"/>
            <w:tcBorders>
              <w:top w:val="nil"/>
              <w:bottom w:val="nil"/>
              <w:right w:val="nil"/>
            </w:tcBorders>
            <w:vAlign w:val="center"/>
          </w:tcPr>
          <w:p w:rsidR="00C71960" w:rsidRDefault="00C71960" w:rsidP="00FF6A3A">
            <w:r>
              <w:t>Waiting for action</w:t>
            </w:r>
          </w:p>
        </w:tc>
      </w:tr>
      <w:tr w:rsidR="00E86818" w:rsidTr="00FF6A3A">
        <w:trPr>
          <w:cantSplit/>
          <w:trHeight w:hRule="exact" w:val="576"/>
        </w:trPr>
        <w:tc>
          <w:tcPr>
            <w:tcW w:w="1094" w:type="dxa"/>
            <w:vAlign w:val="center"/>
          </w:tcPr>
          <w:p w:rsidR="008372A1" w:rsidRDefault="008372A1" w:rsidP="00FF6A3A"/>
        </w:tc>
        <w:tc>
          <w:tcPr>
            <w:tcW w:w="8374" w:type="dxa"/>
            <w:tcBorders>
              <w:top w:val="nil"/>
              <w:bottom w:val="nil"/>
              <w:right w:val="nil"/>
            </w:tcBorders>
            <w:vAlign w:val="center"/>
          </w:tcPr>
          <w:p w:rsidR="008372A1" w:rsidRDefault="008372A1" w:rsidP="00FF6A3A">
            <w:r>
              <w:t>No further action required</w:t>
            </w:r>
          </w:p>
        </w:tc>
      </w:tr>
    </w:tbl>
    <w:p w:rsidR="00E86818" w:rsidRDefault="00E86818" w:rsidP="00E86818"/>
    <w:p w:rsidR="00E86818" w:rsidRDefault="00E86818" w:rsidP="00E86818"/>
    <w:p w:rsidR="008372A1" w:rsidRDefault="00D46FA2" w:rsidP="00D46FA2">
      <w:pPr>
        <w:pStyle w:val="Heading3"/>
      </w:pPr>
      <w:r>
        <w:t>STATUS</w:t>
      </w:r>
      <w:r>
        <w:tab/>
      </w:r>
      <w:r>
        <w:tab/>
      </w:r>
      <w:r>
        <w:tab/>
      </w:r>
      <w:r>
        <w:tab/>
      </w:r>
      <w:r>
        <w:tab/>
        <w:t>DESCRIPTION</w:t>
      </w:r>
    </w:p>
    <w:p w:rsidR="00E86818" w:rsidRPr="00E86818" w:rsidRDefault="00E86818" w:rsidP="00E86818"/>
    <w:tbl>
      <w:tblPr>
        <w:tblStyle w:val="TableGrid"/>
        <w:tblW w:w="0" w:type="auto"/>
        <w:tblLook w:val="04A0" w:firstRow="1" w:lastRow="0" w:firstColumn="1" w:lastColumn="0" w:noHBand="0" w:noVBand="1"/>
      </w:tblPr>
      <w:tblGrid>
        <w:gridCol w:w="1098"/>
        <w:gridCol w:w="8478"/>
      </w:tblGrid>
      <w:tr w:rsidR="0032021E" w:rsidTr="00C44EC2">
        <w:trPr>
          <w:cantSplit/>
        </w:trPr>
        <w:tc>
          <w:tcPr>
            <w:tcW w:w="1098" w:type="dxa"/>
            <w:tcBorders>
              <w:bottom w:val="single" w:sz="4" w:space="0" w:color="auto"/>
            </w:tcBorders>
            <w:shd w:val="clear" w:color="auto" w:fill="C2D69B" w:themeFill="accent3" w:themeFillTint="99"/>
            <w:vAlign w:val="center"/>
          </w:tcPr>
          <w:p w:rsidR="0032021E" w:rsidRDefault="0032021E" w:rsidP="00B47584">
            <w:pPr>
              <w:jc w:val="center"/>
            </w:pPr>
            <w:r>
              <w:t>F</w:t>
            </w:r>
          </w:p>
        </w:tc>
        <w:tc>
          <w:tcPr>
            <w:tcW w:w="8478" w:type="dxa"/>
          </w:tcPr>
          <w:p w:rsidR="00420D0D" w:rsidRDefault="0032021E" w:rsidP="00420D0D">
            <w:r w:rsidRPr="00BF46C1">
              <w:t>Users often get a “Navigation to the webpage was canceled”</w:t>
            </w:r>
            <w:r>
              <w:t xml:space="preserve"> error when they click on Help -&gt;</w:t>
            </w:r>
            <w:r w:rsidRPr="00BF46C1">
              <w:t xml:space="preserve"> Contents</w:t>
            </w:r>
            <w:r w:rsidR="00AA4D78">
              <w:t>, since the help file display (CHM format) is</w:t>
            </w:r>
            <w:r w:rsidR="00AA4D78" w:rsidRPr="00BF46C1">
              <w:t xml:space="preserve"> problematic for Windows</w:t>
            </w:r>
            <w:r w:rsidRPr="00BF46C1">
              <w:t>.</w:t>
            </w:r>
            <w:r>
              <w:t xml:space="preserve">  Agreed solution is to </w:t>
            </w:r>
            <w:r w:rsidR="00AA4D78">
              <w:t xml:space="preserve">remove </w:t>
            </w:r>
            <w:r>
              <w:t>the</w:t>
            </w:r>
            <w:r w:rsidR="00420D0D">
              <w:t xml:space="preserve"> help</w:t>
            </w:r>
            <w:r>
              <w:t xml:space="preserve"> f</w:t>
            </w:r>
            <w:r w:rsidR="00AA4D78">
              <w:t>rom</w:t>
            </w:r>
            <w:r>
              <w:t xml:space="preserve"> MME and put </w:t>
            </w:r>
            <w:r w:rsidR="00420D0D">
              <w:t xml:space="preserve">it </w:t>
            </w:r>
            <w:r>
              <w:t>online.</w:t>
            </w:r>
          </w:p>
          <w:p w:rsidR="0032021E" w:rsidRDefault="0032021E" w:rsidP="000217F3">
            <w:r w:rsidRPr="00DC562F">
              <w:rPr>
                <w:b/>
              </w:rPr>
              <w:t>ACTION:</w:t>
            </w:r>
            <w:r>
              <w:t xml:space="preserve"> </w:t>
            </w:r>
            <w:proofErr w:type="spellStart"/>
            <w:r>
              <w:t>MnGeo</w:t>
            </w:r>
            <w:proofErr w:type="spellEnd"/>
            <w:r>
              <w:t xml:space="preserve"> has put the PDF help file online. Jim can now remove CHM help file from MME</w:t>
            </w:r>
            <w:r w:rsidR="00AA4D78">
              <w:t>,</w:t>
            </w:r>
            <w:r>
              <w:t xml:space="preserve"> and</w:t>
            </w:r>
            <w:r w:rsidR="00AA4D78">
              <w:t xml:space="preserve"> point</w:t>
            </w:r>
            <w:r>
              <w:t xml:space="preserve"> the Help button to the online PDF.</w:t>
            </w:r>
          </w:p>
        </w:tc>
      </w:tr>
      <w:tr w:rsidR="00AA4D78" w:rsidTr="00EC7483">
        <w:trPr>
          <w:cantSplit/>
        </w:trPr>
        <w:tc>
          <w:tcPr>
            <w:tcW w:w="1098" w:type="dxa"/>
            <w:tcBorders>
              <w:bottom w:val="single" w:sz="4" w:space="0" w:color="auto"/>
            </w:tcBorders>
            <w:shd w:val="clear" w:color="auto" w:fill="C2D69B" w:themeFill="accent3" w:themeFillTint="99"/>
            <w:vAlign w:val="center"/>
          </w:tcPr>
          <w:p w:rsidR="00AA4D78" w:rsidRDefault="00AA4D78" w:rsidP="00EC7483">
            <w:pPr>
              <w:jc w:val="center"/>
            </w:pPr>
            <w:r>
              <w:t>U</w:t>
            </w:r>
          </w:p>
        </w:tc>
        <w:tc>
          <w:tcPr>
            <w:tcW w:w="8478" w:type="dxa"/>
          </w:tcPr>
          <w:p w:rsidR="00AA4D78" w:rsidRDefault="00AA4D78" w:rsidP="00EC7483">
            <w:r>
              <w:t xml:space="preserve">Since we are only distributing and supporting the </w:t>
            </w:r>
            <w:r w:rsidRPr="00EC7483">
              <w:rPr>
                <w:b/>
              </w:rPr>
              <w:t>portable</w:t>
            </w:r>
            <w:r>
              <w:t xml:space="preserve"> version of MME, remove references to the </w:t>
            </w:r>
            <w:r w:rsidRPr="00EC7483">
              <w:rPr>
                <w:b/>
              </w:rPr>
              <w:t>installed</w:t>
            </w:r>
            <w:r>
              <w:t xml:space="preserve"> version of the editor and to the ArcGIS </w:t>
            </w:r>
            <w:proofErr w:type="spellStart"/>
            <w:r>
              <w:t>stylesheets</w:t>
            </w:r>
            <w:proofErr w:type="spellEnd"/>
            <w:r>
              <w:t xml:space="preserve"> from the installation instructions and the Help file.</w:t>
            </w:r>
          </w:p>
          <w:p w:rsidR="00AA4D78" w:rsidRDefault="00AA4D78" w:rsidP="00EC7483">
            <w:r>
              <w:rPr>
                <w:b/>
              </w:rPr>
              <w:t>ACTION:</w:t>
            </w:r>
            <w:r>
              <w:t xml:space="preserve">  Met Council agrees</w:t>
            </w:r>
            <w:r w:rsidR="000217F3">
              <w:t>.</w:t>
            </w:r>
          </w:p>
        </w:tc>
      </w:tr>
      <w:tr w:rsidR="00D0207B" w:rsidTr="00EC7483">
        <w:trPr>
          <w:cantSplit/>
        </w:trPr>
        <w:tc>
          <w:tcPr>
            <w:tcW w:w="1098" w:type="dxa"/>
            <w:tcBorders>
              <w:bottom w:val="single" w:sz="4" w:space="0" w:color="auto"/>
            </w:tcBorders>
            <w:shd w:val="clear" w:color="auto" w:fill="C2D69B" w:themeFill="accent3" w:themeFillTint="99"/>
            <w:vAlign w:val="center"/>
          </w:tcPr>
          <w:p w:rsidR="00D0207B" w:rsidRDefault="00D0207B" w:rsidP="00EC7483">
            <w:pPr>
              <w:jc w:val="center"/>
            </w:pPr>
            <w:r>
              <w:t>T</w:t>
            </w:r>
          </w:p>
        </w:tc>
        <w:tc>
          <w:tcPr>
            <w:tcW w:w="8478" w:type="dxa"/>
          </w:tcPr>
          <w:p w:rsidR="00D0207B" w:rsidRDefault="00D0207B" w:rsidP="00EC7483">
            <w:r>
              <w:t>Change installation folder name to “MME” from “</w:t>
            </w:r>
            <w:proofErr w:type="spellStart"/>
            <w:r>
              <w:t>MnGeo</w:t>
            </w:r>
            <w:proofErr w:type="spellEnd"/>
            <w:r>
              <w:t>”.</w:t>
            </w:r>
          </w:p>
          <w:p w:rsidR="00D0207B" w:rsidRDefault="00D0207B" w:rsidP="00EC7483">
            <w:r>
              <w:rPr>
                <w:b/>
              </w:rPr>
              <w:t>ACTION:</w:t>
            </w:r>
            <w:r>
              <w:t xml:space="preserve">  </w:t>
            </w:r>
            <w:r w:rsidR="000217F3">
              <w:t>Met Council agrees.</w:t>
            </w:r>
          </w:p>
        </w:tc>
      </w:tr>
      <w:tr w:rsidR="0032021E" w:rsidTr="00C44EC2">
        <w:trPr>
          <w:cantSplit/>
        </w:trPr>
        <w:tc>
          <w:tcPr>
            <w:tcW w:w="1098" w:type="dxa"/>
            <w:tcBorders>
              <w:bottom w:val="single" w:sz="4" w:space="0" w:color="auto"/>
            </w:tcBorders>
            <w:shd w:val="clear" w:color="auto" w:fill="C2D69B" w:themeFill="accent3" w:themeFillTint="99"/>
            <w:vAlign w:val="center"/>
          </w:tcPr>
          <w:p w:rsidR="0032021E" w:rsidRDefault="0032021E" w:rsidP="00B47584">
            <w:pPr>
              <w:jc w:val="center"/>
            </w:pPr>
            <w:r>
              <w:t>I</w:t>
            </w:r>
          </w:p>
        </w:tc>
        <w:tc>
          <w:tcPr>
            <w:tcW w:w="8478" w:type="dxa"/>
          </w:tcPr>
          <w:p w:rsidR="0032021E" w:rsidRDefault="0032021E" w:rsidP="00B47584">
            <w:r>
              <w:t>Change Spatial Extent of Data field to a text box, not a single line text entry box.</w:t>
            </w:r>
          </w:p>
          <w:p w:rsidR="0032021E" w:rsidRDefault="00420D0D" w:rsidP="000217F3">
            <w:r>
              <w:rPr>
                <w:b/>
              </w:rPr>
              <w:t xml:space="preserve">ACTION: </w:t>
            </w:r>
            <w:r w:rsidR="0032021E">
              <w:t xml:space="preserve">Yes, good idea. This should be fixed. </w:t>
            </w:r>
            <w:r>
              <w:t>(Jim)</w:t>
            </w:r>
          </w:p>
        </w:tc>
      </w:tr>
      <w:tr w:rsidR="00AA4D78" w:rsidTr="00EC7483">
        <w:trPr>
          <w:cantSplit/>
        </w:trPr>
        <w:tc>
          <w:tcPr>
            <w:tcW w:w="1098" w:type="dxa"/>
            <w:tcBorders>
              <w:bottom w:val="single" w:sz="4" w:space="0" w:color="auto"/>
            </w:tcBorders>
            <w:shd w:val="clear" w:color="auto" w:fill="C2D69B" w:themeFill="accent3" w:themeFillTint="99"/>
            <w:vAlign w:val="center"/>
          </w:tcPr>
          <w:p w:rsidR="00AA4D78" w:rsidRDefault="00AA4D78" w:rsidP="00EC7483">
            <w:pPr>
              <w:jc w:val="center"/>
            </w:pPr>
            <w:r>
              <w:t>L</w:t>
            </w:r>
          </w:p>
        </w:tc>
        <w:tc>
          <w:tcPr>
            <w:tcW w:w="8478" w:type="dxa"/>
          </w:tcPr>
          <w:p w:rsidR="00AA4D78" w:rsidRDefault="00AA4D78" w:rsidP="00EC7483">
            <w:r>
              <w:t>Add https:/</w:t>
            </w:r>
            <w:proofErr w:type="gramStart"/>
            <w:r>
              <w:t>/  to</w:t>
            </w:r>
            <w:proofErr w:type="gramEnd"/>
            <w:r>
              <w:t xml:space="preserve"> the list of URLS that are hot-linked.</w:t>
            </w:r>
          </w:p>
          <w:p w:rsidR="00AA4D78" w:rsidRDefault="00AA4D78">
            <w:r>
              <w:rPr>
                <w:b/>
              </w:rPr>
              <w:t>ACTION:</w:t>
            </w:r>
            <w:r>
              <w:t xml:space="preserve">  Met Council agrees.</w:t>
            </w:r>
          </w:p>
        </w:tc>
      </w:tr>
      <w:tr w:rsidR="00AA4D78" w:rsidTr="00EC7483">
        <w:trPr>
          <w:cantSplit/>
        </w:trPr>
        <w:tc>
          <w:tcPr>
            <w:tcW w:w="1098" w:type="dxa"/>
            <w:tcBorders>
              <w:bottom w:val="single" w:sz="4" w:space="0" w:color="auto"/>
            </w:tcBorders>
            <w:shd w:val="clear" w:color="auto" w:fill="C2D69B" w:themeFill="accent3" w:themeFillTint="99"/>
            <w:vAlign w:val="center"/>
          </w:tcPr>
          <w:p w:rsidR="00AA4D78" w:rsidRDefault="00AA4D78" w:rsidP="00EC7483">
            <w:pPr>
              <w:jc w:val="center"/>
            </w:pPr>
            <w:r>
              <w:lastRenderedPageBreak/>
              <w:t>N</w:t>
            </w:r>
          </w:p>
        </w:tc>
        <w:tc>
          <w:tcPr>
            <w:tcW w:w="8478" w:type="dxa"/>
          </w:tcPr>
          <w:p w:rsidR="00AA4D78" w:rsidRDefault="00AA4D78" w:rsidP="00EC7483">
            <w:r w:rsidRPr="00D32458">
              <w:t>Dis</w:t>
            </w:r>
            <w:r>
              <w:t>play the initial part of the URL in the hotlink (e.g., the</w:t>
            </w:r>
            <w:r w:rsidRPr="00D32458">
              <w:t xml:space="preserve"> “http://</w:t>
            </w:r>
            <w:proofErr w:type="gramStart"/>
            <w:r w:rsidRPr="00D32458">
              <w:t>”  and</w:t>
            </w:r>
            <w:proofErr w:type="gramEnd"/>
            <w:r w:rsidRPr="00D32458">
              <w:t xml:space="preserve">  “ftp://”  parts). This would save a step of retyping them back i</w:t>
            </w:r>
            <w:r>
              <w:t>n when cutting-and-pasting a URL</w:t>
            </w:r>
            <w:r w:rsidRPr="00D32458">
              <w:t xml:space="preserve"> from an existing record to a new record.</w:t>
            </w:r>
          </w:p>
          <w:p w:rsidR="00AA4D78" w:rsidRDefault="00AA4D78">
            <w:r>
              <w:rPr>
                <w:b/>
              </w:rPr>
              <w:t>ACTION:</w:t>
            </w:r>
            <w:r>
              <w:t xml:space="preserve">  Met Council agrees.</w:t>
            </w:r>
          </w:p>
        </w:tc>
      </w:tr>
      <w:tr w:rsidR="0032021E" w:rsidTr="00C44EC2">
        <w:trPr>
          <w:cantSplit/>
        </w:trPr>
        <w:tc>
          <w:tcPr>
            <w:tcW w:w="1098" w:type="dxa"/>
            <w:tcBorders>
              <w:bottom w:val="single" w:sz="4" w:space="0" w:color="auto"/>
            </w:tcBorders>
            <w:shd w:val="clear" w:color="auto" w:fill="C2D69B" w:themeFill="accent3" w:themeFillTint="99"/>
            <w:vAlign w:val="center"/>
          </w:tcPr>
          <w:p w:rsidR="0032021E" w:rsidRDefault="0032021E" w:rsidP="00B47584">
            <w:pPr>
              <w:jc w:val="center"/>
            </w:pPr>
            <w:r>
              <w:t>J</w:t>
            </w:r>
          </w:p>
        </w:tc>
        <w:tc>
          <w:tcPr>
            <w:tcW w:w="8478" w:type="dxa"/>
          </w:tcPr>
          <w:p w:rsidR="0032021E" w:rsidRDefault="0032021E" w:rsidP="00420D0D">
            <w:r>
              <w:t>Add fields for Vertical Datum.  Jim's Comments: Yes, good idea. These should be added. But I'm not sure where and under what tag structure. More research needed and a specification needs to be created</w:t>
            </w:r>
            <w:r w:rsidR="00420D0D">
              <w:t xml:space="preserve"> for</w:t>
            </w:r>
            <w:r>
              <w:t xml:space="preserve"> </w:t>
            </w:r>
            <w:r w:rsidR="00AA4D78">
              <w:t xml:space="preserve">the two fields: </w:t>
            </w:r>
            <w:r w:rsidR="000217F3">
              <w:t xml:space="preserve"> </w:t>
            </w:r>
            <w:r w:rsidRPr="00AB3CEA">
              <w:t>FGDC Identifier 4.2.1.1 Altitude Datum and 4.2.1.3 Altitude Units</w:t>
            </w:r>
            <w:r w:rsidR="00420D0D">
              <w:t>.</w:t>
            </w:r>
            <w:r w:rsidR="00420D0D">
              <w:br/>
            </w:r>
            <w:r w:rsidRPr="00DC562F">
              <w:rPr>
                <w:b/>
              </w:rPr>
              <w:t>ACTION</w:t>
            </w:r>
            <w:r>
              <w:t xml:space="preserve">: </w:t>
            </w:r>
            <w:proofErr w:type="spellStart"/>
            <w:r>
              <w:t>MnGeo</w:t>
            </w:r>
            <w:proofErr w:type="spellEnd"/>
            <w:r>
              <w:t xml:space="preserve"> will provide tags, structure and menu choices</w:t>
            </w:r>
            <w:r w:rsidR="00420D0D">
              <w:t xml:space="preserve"> after checking menu choices with Pete Jenkins</w:t>
            </w:r>
            <w:r>
              <w:t>.</w:t>
            </w:r>
          </w:p>
        </w:tc>
      </w:tr>
      <w:tr w:rsidR="00AA4D78" w:rsidTr="00EC7483">
        <w:trPr>
          <w:cantSplit/>
        </w:trPr>
        <w:tc>
          <w:tcPr>
            <w:tcW w:w="1098" w:type="dxa"/>
            <w:tcBorders>
              <w:bottom w:val="single" w:sz="4" w:space="0" w:color="auto"/>
            </w:tcBorders>
            <w:shd w:val="clear" w:color="auto" w:fill="C2D69B" w:themeFill="accent3" w:themeFillTint="99"/>
            <w:vAlign w:val="center"/>
          </w:tcPr>
          <w:p w:rsidR="00AA4D78" w:rsidRDefault="00AA4D78" w:rsidP="00EC7483">
            <w:pPr>
              <w:jc w:val="center"/>
            </w:pPr>
            <w:r>
              <w:t>D</w:t>
            </w:r>
          </w:p>
        </w:tc>
        <w:tc>
          <w:tcPr>
            <w:tcW w:w="8478" w:type="dxa"/>
          </w:tcPr>
          <w:p w:rsidR="00AA4D78" w:rsidRDefault="00AA4D78" w:rsidP="00EC7483">
            <w:r>
              <w:t>Using “Tools -&gt; Refresh From Database” sometimes deletes the contents from the “Online Linkage” field. Have not yet figured out a pattern of when this happens.</w:t>
            </w:r>
          </w:p>
          <w:p w:rsidR="00AA4D78" w:rsidRDefault="00AA4D78" w:rsidP="00EC7483">
            <w:r>
              <w:rPr>
                <w:b/>
              </w:rPr>
              <w:t>ACTION:</w:t>
            </w:r>
            <w:r>
              <w:t xml:space="preserve">  We should fix this. (Jim G.)</w:t>
            </w:r>
          </w:p>
        </w:tc>
      </w:tr>
      <w:tr w:rsidR="0032021E" w:rsidTr="00C44EC2">
        <w:trPr>
          <w:cantSplit/>
        </w:trPr>
        <w:tc>
          <w:tcPr>
            <w:tcW w:w="1098" w:type="dxa"/>
            <w:tcBorders>
              <w:bottom w:val="single" w:sz="4" w:space="0" w:color="auto"/>
            </w:tcBorders>
            <w:shd w:val="clear" w:color="auto" w:fill="C2D69B" w:themeFill="accent3" w:themeFillTint="99"/>
            <w:vAlign w:val="center"/>
          </w:tcPr>
          <w:p w:rsidR="0032021E" w:rsidRDefault="0032021E" w:rsidP="00B47584">
            <w:pPr>
              <w:jc w:val="center"/>
            </w:pPr>
            <w:r>
              <w:t>P</w:t>
            </w:r>
          </w:p>
        </w:tc>
        <w:tc>
          <w:tcPr>
            <w:tcW w:w="8478" w:type="dxa"/>
          </w:tcPr>
          <w:p w:rsidR="00420D0D" w:rsidRDefault="0032021E" w:rsidP="00B47584">
            <w:r>
              <w:t>Data.gov requires that the field “Address Type” always be filled.</w:t>
            </w:r>
          </w:p>
          <w:p w:rsidR="0032021E" w:rsidRDefault="00420D0D" w:rsidP="00B47584">
            <w:r>
              <w:rPr>
                <w:b/>
              </w:rPr>
              <w:t>ACTION:</w:t>
            </w:r>
            <w:r>
              <w:t xml:space="preserve">  </w:t>
            </w:r>
            <w:r w:rsidR="0032021E">
              <w:t>Mark K says they will look for a fix, perhaps sim</w:t>
            </w:r>
            <w:bookmarkStart w:id="0" w:name="_GoBack"/>
            <w:bookmarkEnd w:id="0"/>
            <w:r w:rsidR="0032021E">
              <w:t>ply hard coding “Mailing and Physical” in each record.</w:t>
            </w:r>
          </w:p>
        </w:tc>
      </w:tr>
      <w:tr w:rsidR="0032021E" w:rsidTr="00DC562F">
        <w:trPr>
          <w:cantSplit/>
        </w:trPr>
        <w:tc>
          <w:tcPr>
            <w:tcW w:w="1098" w:type="dxa"/>
            <w:tcBorders>
              <w:bottom w:val="single" w:sz="4" w:space="0" w:color="auto"/>
            </w:tcBorders>
            <w:shd w:val="clear" w:color="auto" w:fill="FABF8F" w:themeFill="accent6" w:themeFillTint="99"/>
            <w:vAlign w:val="center"/>
          </w:tcPr>
          <w:p w:rsidR="0032021E" w:rsidRDefault="0032021E" w:rsidP="00B47584">
            <w:pPr>
              <w:jc w:val="center"/>
            </w:pPr>
            <w:r>
              <w:t>B</w:t>
            </w:r>
          </w:p>
        </w:tc>
        <w:tc>
          <w:tcPr>
            <w:tcW w:w="8478" w:type="dxa"/>
          </w:tcPr>
          <w:p w:rsidR="00CF7168" w:rsidRDefault="00CF7168" w:rsidP="000217F3">
            <w:r w:rsidRPr="00CD2EB5">
              <w:t>The workflow and terminology is unclear</w:t>
            </w:r>
            <w:r>
              <w:t xml:space="preserve"> in the “</w:t>
            </w:r>
            <w:r w:rsidR="0032021E">
              <w:t xml:space="preserve">Add </w:t>
            </w:r>
            <w:r w:rsidR="0032021E" w:rsidRPr="00CD2EB5">
              <w:t>detailed entity and attribute information</w:t>
            </w:r>
            <w:r>
              <w:t>” section, e.g., i</w:t>
            </w:r>
            <w:r w:rsidR="0032021E" w:rsidRPr="00CD2EB5">
              <w:t>n the Detailed tab, information entered into “Label” area of the Table(s) and Field(s) sections disappears (Matt Koukol, Ramsey Co.). Hal has provided a clear workflow explanation that solved the problem.</w:t>
            </w:r>
          </w:p>
          <w:p w:rsidR="0032021E" w:rsidRDefault="00CF7168">
            <w:r>
              <w:rPr>
                <w:b/>
              </w:rPr>
              <w:t>ACTION:</w:t>
            </w:r>
            <w:r>
              <w:t xml:space="preserve">  </w:t>
            </w:r>
            <w:r w:rsidR="009F28F1">
              <w:t xml:space="preserve">Steve and Nancy will add Hal’s explanation to the </w:t>
            </w:r>
            <w:r w:rsidR="0032021E">
              <w:t xml:space="preserve">help </w:t>
            </w:r>
            <w:r w:rsidR="009F28F1">
              <w:t>and</w:t>
            </w:r>
            <w:r w:rsidR="0032021E">
              <w:t xml:space="preserve"> training</w:t>
            </w:r>
            <w:r w:rsidR="009F28F1">
              <w:t xml:space="preserve"> materials</w:t>
            </w:r>
            <w:r w:rsidR="0032021E">
              <w:t>.</w:t>
            </w:r>
          </w:p>
        </w:tc>
      </w:tr>
      <w:tr w:rsidR="00EB40B7" w:rsidTr="00EC7483">
        <w:trPr>
          <w:cantSplit/>
        </w:trPr>
        <w:tc>
          <w:tcPr>
            <w:tcW w:w="1098" w:type="dxa"/>
            <w:tcBorders>
              <w:bottom w:val="single" w:sz="4" w:space="0" w:color="auto"/>
            </w:tcBorders>
            <w:shd w:val="clear" w:color="auto" w:fill="FABF8F" w:themeFill="accent6" w:themeFillTint="99"/>
            <w:vAlign w:val="center"/>
          </w:tcPr>
          <w:p w:rsidR="00EB40B7" w:rsidRDefault="00EB40B7" w:rsidP="00EC7483">
            <w:pPr>
              <w:jc w:val="center"/>
            </w:pPr>
            <w:r>
              <w:t>S</w:t>
            </w:r>
          </w:p>
        </w:tc>
        <w:tc>
          <w:tcPr>
            <w:tcW w:w="8478" w:type="dxa"/>
          </w:tcPr>
          <w:p w:rsidR="00EB40B7" w:rsidRDefault="00EB40B7" w:rsidP="000217F3">
            <w:r>
              <w:t>Rewrite the boilerplate text now provided in “Online Linkage” in the html. Current text says that data can be downloaded, which is confusing when describing anything that is not downloadable, especially services.  Replace with text referring people to Ordering Instructions for those specific details. Mark indicates the change will be made to the XSLT file; it can also be customized for individual metadata records.</w:t>
            </w:r>
          </w:p>
          <w:p w:rsidR="00EB40B7" w:rsidRDefault="00EB40B7">
            <w:r>
              <w:rPr>
                <w:b/>
              </w:rPr>
              <w:t>ACTION:</w:t>
            </w:r>
            <w:r>
              <w:t xml:space="preserve">  </w:t>
            </w:r>
            <w:proofErr w:type="spellStart"/>
            <w:r>
              <w:t>MnGeo</w:t>
            </w:r>
            <w:proofErr w:type="spellEnd"/>
            <w:r>
              <w:t xml:space="preserve"> will follow up with Met C by providing </w:t>
            </w:r>
            <w:r w:rsidR="00723F0E">
              <w:t>suggested</w:t>
            </w:r>
            <w:r>
              <w:t xml:space="preserve"> language referring people to the Ordering Instructions. Could also add directions for customizing the XSLT for anyone who wishes to adapt the wording for their organization.</w:t>
            </w:r>
          </w:p>
        </w:tc>
      </w:tr>
      <w:tr w:rsidR="0032021E" w:rsidTr="00C44EC2">
        <w:trPr>
          <w:cantSplit/>
        </w:trPr>
        <w:tc>
          <w:tcPr>
            <w:tcW w:w="1098" w:type="dxa"/>
            <w:tcBorders>
              <w:bottom w:val="single" w:sz="4" w:space="0" w:color="auto"/>
            </w:tcBorders>
            <w:shd w:val="clear" w:color="auto" w:fill="FABF8F" w:themeFill="accent6" w:themeFillTint="99"/>
            <w:vAlign w:val="center"/>
          </w:tcPr>
          <w:p w:rsidR="0032021E" w:rsidRDefault="0032021E" w:rsidP="00B47584">
            <w:pPr>
              <w:jc w:val="center"/>
            </w:pPr>
            <w:r>
              <w:lastRenderedPageBreak/>
              <w:t>H</w:t>
            </w:r>
          </w:p>
        </w:tc>
        <w:tc>
          <w:tcPr>
            <w:tcW w:w="8478" w:type="dxa"/>
          </w:tcPr>
          <w:p w:rsidR="0032021E" w:rsidRDefault="0032021E" w:rsidP="00B47584">
            <w:r>
              <w:t>Format of XML output:  MME strings a whole bunch of tags together into one long line. The tool we used previously (wmeta32.exe</w:t>
            </w:r>
            <w:r w:rsidR="00480FAE">
              <w:t>, written by Pete O</w:t>
            </w:r>
            <w:r w:rsidR="00560553">
              <w:t>lson</w:t>
            </w:r>
            <w:r>
              <w:t xml:space="preserve">) created an xml with a single tag per line, then a </w:t>
            </w:r>
            <w:proofErr w:type="spellStart"/>
            <w:r>
              <w:t>linebreak</w:t>
            </w:r>
            <w:proofErr w:type="spellEnd"/>
            <w:r>
              <w:t>. When everything is on one line, it is harder to read. Also, when you index a record using the Z39.50, the tags are not recognized, titles do not appear correctly on the search results page, and the search does not work because the tags were not recognized.</w:t>
            </w:r>
          </w:p>
          <w:p w:rsidR="0032021E" w:rsidRDefault="0032021E" w:rsidP="00B47584">
            <w:r>
              <w:t xml:space="preserve">Pete’s fix in </w:t>
            </w:r>
            <w:proofErr w:type="spellStart"/>
            <w:r>
              <w:t>linux</w:t>
            </w:r>
            <w:proofErr w:type="spellEnd"/>
            <w:r>
              <w:t xml:space="preserve"> (where we index our records) is the ‘tidy’ command:</w:t>
            </w:r>
          </w:p>
          <w:p w:rsidR="0032021E" w:rsidRDefault="0032021E" w:rsidP="00B47584">
            <w:r>
              <w:t>o</w:t>
            </w:r>
            <w:r>
              <w:tab/>
              <w:t>tidy –xml –m filename.xml (to replace the old xml file with the cleaned up one)  OR</w:t>
            </w:r>
          </w:p>
          <w:p w:rsidR="00480FAE" w:rsidRDefault="0032021E" w:rsidP="00B47584">
            <w:r>
              <w:t>o</w:t>
            </w:r>
            <w:r>
              <w:tab/>
              <w:t>tidy –xml &gt; newfilename.xml (to create a new xml file with a new name, preserving the old one)</w:t>
            </w:r>
          </w:p>
          <w:p w:rsidR="0032021E" w:rsidRDefault="0032021E" w:rsidP="00B47584">
            <w:r w:rsidRPr="00DC562F">
              <w:rPr>
                <w:b/>
              </w:rPr>
              <w:t>ACTION:</w:t>
            </w:r>
            <w:r>
              <w:t xml:space="preserve"> Chris and Nancy will contact Susanne and Pete</w:t>
            </w:r>
            <w:r w:rsidR="00560553">
              <w:t xml:space="preserve"> O.</w:t>
            </w:r>
            <w:r>
              <w:t xml:space="preserve"> for more information</w:t>
            </w:r>
            <w:r w:rsidR="00480FAE">
              <w:t xml:space="preserve"> in order to decide whether this is an important issue.</w:t>
            </w:r>
          </w:p>
        </w:tc>
      </w:tr>
      <w:tr w:rsidR="0032021E" w:rsidTr="00C44EC2">
        <w:trPr>
          <w:cantSplit/>
        </w:trPr>
        <w:tc>
          <w:tcPr>
            <w:tcW w:w="1098" w:type="dxa"/>
            <w:tcBorders>
              <w:bottom w:val="single" w:sz="4" w:space="0" w:color="auto"/>
            </w:tcBorders>
            <w:shd w:val="clear" w:color="auto" w:fill="FABF8F" w:themeFill="accent6" w:themeFillTint="99"/>
            <w:vAlign w:val="center"/>
          </w:tcPr>
          <w:p w:rsidR="0032021E" w:rsidRDefault="0032021E" w:rsidP="00B47584">
            <w:pPr>
              <w:jc w:val="center"/>
            </w:pPr>
            <w:r>
              <w:t>Q</w:t>
            </w:r>
          </w:p>
        </w:tc>
        <w:tc>
          <w:tcPr>
            <w:tcW w:w="8478" w:type="dxa"/>
          </w:tcPr>
          <w:p w:rsidR="0032021E" w:rsidRDefault="0032021E" w:rsidP="00B47584">
            <w:r>
              <w:t>Because keywords are clustered between one set of tags, complications and incomplete translation from existing records being converted persist.  What issues would arise if we introduced the concept of repetitive fields for keywords?  Jim G would rather not deal with this issue as it complicates MME’s programming. Would help at import time, nice-to-have.</w:t>
            </w:r>
          </w:p>
        </w:tc>
      </w:tr>
      <w:tr w:rsidR="002B0155" w:rsidTr="00EC7483">
        <w:trPr>
          <w:cantSplit/>
        </w:trPr>
        <w:tc>
          <w:tcPr>
            <w:tcW w:w="1098" w:type="dxa"/>
            <w:tcBorders>
              <w:bottom w:val="single" w:sz="4" w:space="0" w:color="auto"/>
            </w:tcBorders>
            <w:shd w:val="clear" w:color="auto" w:fill="FABF8F" w:themeFill="accent6" w:themeFillTint="99"/>
            <w:vAlign w:val="center"/>
          </w:tcPr>
          <w:p w:rsidR="002B0155" w:rsidRDefault="002B0155" w:rsidP="00EC7483">
            <w:pPr>
              <w:jc w:val="center"/>
            </w:pPr>
            <w:r>
              <w:t>K</w:t>
            </w:r>
          </w:p>
        </w:tc>
        <w:tc>
          <w:tcPr>
            <w:tcW w:w="8478" w:type="dxa"/>
          </w:tcPr>
          <w:p w:rsidR="002B0155" w:rsidRDefault="002B0155" w:rsidP="00EC7483">
            <w:r>
              <w:t>A series of three Entity and Attribute questions posed by Karl Hillstrom seeking clarifications.</w:t>
            </w:r>
          </w:p>
          <w:p w:rsidR="002B0155" w:rsidRDefault="002B0155" w:rsidP="00EC7483">
            <w:r w:rsidRPr="00EC7483">
              <w:rPr>
                <w:b/>
              </w:rPr>
              <w:t>ACTION:</w:t>
            </w:r>
            <w:r>
              <w:t xml:space="preserve">  Nancy will check with Karl and Hal to see if these are really issues.</w:t>
            </w:r>
          </w:p>
        </w:tc>
      </w:tr>
      <w:tr w:rsidR="0032021E" w:rsidTr="00C44EC2">
        <w:trPr>
          <w:cantSplit/>
        </w:trPr>
        <w:tc>
          <w:tcPr>
            <w:tcW w:w="1098" w:type="dxa"/>
            <w:tcBorders>
              <w:bottom w:val="single" w:sz="4" w:space="0" w:color="auto"/>
            </w:tcBorders>
            <w:shd w:val="clear" w:color="auto" w:fill="FABF8F" w:themeFill="accent6" w:themeFillTint="99"/>
            <w:vAlign w:val="center"/>
          </w:tcPr>
          <w:p w:rsidR="0032021E" w:rsidRDefault="0032021E" w:rsidP="00B47584">
            <w:pPr>
              <w:jc w:val="center"/>
            </w:pPr>
            <w:r>
              <w:t>R</w:t>
            </w:r>
          </w:p>
        </w:tc>
        <w:tc>
          <w:tcPr>
            <w:tcW w:w="8478" w:type="dxa"/>
          </w:tcPr>
          <w:p w:rsidR="002B0155" w:rsidRDefault="0032021E" w:rsidP="000217F3">
            <w:r>
              <w:t>A concern issued by Karl regarding contact person and organization (contact person child to organization?)</w:t>
            </w:r>
          </w:p>
          <w:p w:rsidR="0032021E" w:rsidRDefault="0032021E">
            <w:r w:rsidRPr="00DC562F">
              <w:rPr>
                <w:b/>
              </w:rPr>
              <w:t>ACTION:</w:t>
            </w:r>
            <w:r>
              <w:t xml:space="preserve"> </w:t>
            </w:r>
            <w:r w:rsidR="002B0155">
              <w:t>Nancy will check with Karl and Susanne to see</w:t>
            </w:r>
            <w:r>
              <w:t xml:space="preserve"> </w:t>
            </w:r>
            <w:r w:rsidR="000217F3">
              <w:t xml:space="preserve">if </w:t>
            </w:r>
            <w:r>
              <w:t>this is a problem.</w:t>
            </w:r>
          </w:p>
        </w:tc>
      </w:tr>
      <w:tr w:rsidR="0032021E" w:rsidTr="00C44EC2">
        <w:trPr>
          <w:cantSplit/>
        </w:trPr>
        <w:tc>
          <w:tcPr>
            <w:tcW w:w="1098" w:type="dxa"/>
            <w:shd w:val="clear" w:color="auto" w:fill="C6D9F1" w:themeFill="text2" w:themeFillTint="33"/>
            <w:vAlign w:val="center"/>
          </w:tcPr>
          <w:p w:rsidR="0032021E" w:rsidRDefault="0032021E" w:rsidP="00B47584">
            <w:pPr>
              <w:jc w:val="center"/>
            </w:pPr>
            <w:r>
              <w:t>A</w:t>
            </w:r>
          </w:p>
        </w:tc>
        <w:tc>
          <w:tcPr>
            <w:tcW w:w="8478" w:type="dxa"/>
          </w:tcPr>
          <w:p w:rsidR="0032021E" w:rsidRDefault="0032021E" w:rsidP="00B47584">
            <w:r>
              <w:t>Coordinate/Projection Information Refinement:</w:t>
            </w:r>
          </w:p>
          <w:p w:rsidR="0032021E" w:rsidRDefault="00560553" w:rsidP="00B47584">
            <w:pPr>
              <w:pStyle w:val="ListParagraph"/>
              <w:numPr>
                <w:ilvl w:val="0"/>
                <w:numId w:val="23"/>
              </w:numPr>
            </w:pPr>
            <w:r>
              <w:t xml:space="preserve">County Coordinate Systems:  </w:t>
            </w:r>
            <w:r w:rsidR="0032021E">
              <w:t>Repair errors and incomplete information:</w:t>
            </w:r>
          </w:p>
          <w:p w:rsidR="0032021E" w:rsidRDefault="0032021E" w:rsidP="00B47584">
            <w:pPr>
              <w:pStyle w:val="ListParagraph"/>
              <w:numPr>
                <w:ilvl w:val="0"/>
                <w:numId w:val="25"/>
              </w:numPr>
            </w:pPr>
            <w:r>
              <w:t xml:space="preserve">Proper </w:t>
            </w:r>
            <w:r w:rsidR="00DF65AE">
              <w:t xml:space="preserve">county name should appear in the </w:t>
            </w:r>
            <w:r w:rsidR="00A57A35">
              <w:t xml:space="preserve">menu </w:t>
            </w:r>
            <w:r>
              <w:t>label</w:t>
            </w:r>
            <w:r w:rsidR="00DF65AE">
              <w:t xml:space="preserve"> </w:t>
            </w:r>
            <w:r w:rsidR="00A57A35">
              <w:t>when counties share the same projection</w:t>
            </w:r>
            <w:r>
              <w:t xml:space="preserve"> number</w:t>
            </w:r>
            <w:r w:rsidR="00A57A35">
              <w:rPr>
                <w:rStyle w:val="FootnoteReference"/>
              </w:rPr>
              <w:footnoteReference w:id="1"/>
            </w:r>
          </w:p>
          <w:p w:rsidR="0032021E" w:rsidRDefault="00F34A60" w:rsidP="00B47584">
            <w:pPr>
              <w:pStyle w:val="ListParagraph"/>
              <w:numPr>
                <w:ilvl w:val="0"/>
                <w:numId w:val="25"/>
              </w:numPr>
            </w:pPr>
            <w:r>
              <w:t>Menu choice for units should i</w:t>
            </w:r>
            <w:r w:rsidR="0032021E">
              <w:t xml:space="preserve">nclude </w:t>
            </w:r>
            <w:r>
              <w:t>“</w:t>
            </w:r>
            <w:r w:rsidR="0032021E">
              <w:t>feet</w:t>
            </w:r>
            <w:r>
              <w:t>”</w:t>
            </w:r>
            <w:r w:rsidR="00560553">
              <w:t xml:space="preserve"> (is “meters” ever a valid choice? If not, then remove)</w:t>
            </w:r>
          </w:p>
          <w:p w:rsidR="0032021E" w:rsidRDefault="0032021E" w:rsidP="00B47584">
            <w:pPr>
              <w:pStyle w:val="ListParagraph"/>
              <w:numPr>
                <w:ilvl w:val="0"/>
                <w:numId w:val="25"/>
              </w:numPr>
            </w:pPr>
            <w:r w:rsidRPr="00494BA8">
              <w:t>The “D” default option may or may not behave as expected</w:t>
            </w:r>
          </w:p>
          <w:p w:rsidR="00F34A60" w:rsidRDefault="0032021E" w:rsidP="00B47584">
            <w:pPr>
              <w:pStyle w:val="ListParagraph"/>
              <w:numPr>
                <w:ilvl w:val="0"/>
                <w:numId w:val="23"/>
              </w:numPr>
            </w:pPr>
            <w:r>
              <w:t>UTM Zones: 14, 15 or 16 should remain menu choices. But options to include combinations of these three should be possible, as well</w:t>
            </w:r>
            <w:r w:rsidR="00560553">
              <w:t xml:space="preserve"> (e.g., “14 and 15”)</w:t>
            </w:r>
          </w:p>
          <w:p w:rsidR="0032021E" w:rsidRDefault="00F34A60" w:rsidP="000217F3">
            <w:pPr>
              <w:pStyle w:val="ListParagraph"/>
              <w:numPr>
                <w:ilvl w:val="0"/>
                <w:numId w:val="23"/>
              </w:numPr>
            </w:pPr>
            <w:r>
              <w:t xml:space="preserve">Question for the MGMG content standard:  </w:t>
            </w:r>
            <w:r w:rsidR="00560553">
              <w:t>“</w:t>
            </w:r>
            <w:r>
              <w:t xml:space="preserve">UTM </w:t>
            </w:r>
            <w:r w:rsidR="00560553">
              <w:t xml:space="preserve">Zone </w:t>
            </w:r>
            <w:r w:rsidR="0032021E">
              <w:t>15E</w:t>
            </w:r>
            <w:r w:rsidR="00560553">
              <w:t>”</w:t>
            </w:r>
            <w:r>
              <w:t xml:space="preserve"> can be confusing since it is unclear what “E” stands for (“</w:t>
            </w:r>
            <w:r w:rsidR="00DF65AE">
              <w:t>E</w:t>
            </w:r>
            <w:r w:rsidR="0032021E">
              <w:t>xtended</w:t>
            </w:r>
            <w:r>
              <w:t>” not “</w:t>
            </w:r>
            <w:r w:rsidR="00DF65AE">
              <w:t>E</w:t>
            </w:r>
            <w:r>
              <w:t>ast”</w:t>
            </w:r>
            <w:r w:rsidR="00DF65AE">
              <w:t>) and since it’s t</w:t>
            </w:r>
            <w:r w:rsidR="00560553">
              <w:t>echnically not a UTM projection</w:t>
            </w:r>
            <w:r w:rsidR="00DF65AE">
              <w:t xml:space="preserve">. For the short-term, the MME label could be changed to “15Extended”. For future, </w:t>
            </w:r>
            <w:r w:rsidR="0032021E">
              <w:t>should</w:t>
            </w:r>
            <w:r w:rsidR="00DF65AE">
              <w:t xml:space="preserve"> it</w:t>
            </w:r>
            <w:r w:rsidR="0032021E">
              <w:t xml:space="preserve"> be </w:t>
            </w:r>
            <w:r w:rsidR="00DF65AE">
              <w:t>moved to</w:t>
            </w:r>
            <w:r w:rsidR="0032021E">
              <w:t xml:space="preserve"> a separate projection option (Minnesota TM, </w:t>
            </w:r>
            <w:r w:rsidR="00DF65AE">
              <w:t>f</w:t>
            </w:r>
            <w:r w:rsidR="0032021E">
              <w:t>or example, such as the WTM83 (WI) or NYTM (New York State))</w:t>
            </w:r>
            <w:r w:rsidR="00DF65AE">
              <w:t>?</w:t>
            </w:r>
            <w:r w:rsidR="0032021E">
              <w:t xml:space="preserve">  </w:t>
            </w:r>
            <w:r w:rsidR="00560553" w:rsidRPr="00EC7483">
              <w:rPr>
                <w:b/>
              </w:rPr>
              <w:t>ACTION:</w:t>
            </w:r>
            <w:r w:rsidR="00560553">
              <w:rPr>
                <w:b/>
              </w:rPr>
              <w:t xml:space="preserve"> </w:t>
            </w:r>
            <w:r w:rsidR="00560553">
              <w:t>Chris will a</w:t>
            </w:r>
            <w:r w:rsidR="0032021E">
              <w:t xml:space="preserve">sk Pete </w:t>
            </w:r>
            <w:r w:rsidR="00560553">
              <w:t xml:space="preserve">Jenkins </w:t>
            </w:r>
            <w:r w:rsidR="0032021E">
              <w:t>and Mark to review</w:t>
            </w:r>
            <w:r w:rsidR="0006054A">
              <w:t xml:space="preserve"> this question</w:t>
            </w:r>
            <w:r w:rsidR="0032021E">
              <w:t>.</w:t>
            </w:r>
          </w:p>
        </w:tc>
      </w:tr>
      <w:tr w:rsidR="0032021E" w:rsidTr="00C44EC2">
        <w:trPr>
          <w:cantSplit/>
        </w:trPr>
        <w:tc>
          <w:tcPr>
            <w:tcW w:w="1098" w:type="dxa"/>
            <w:tcBorders>
              <w:bottom w:val="single" w:sz="4" w:space="0" w:color="auto"/>
            </w:tcBorders>
            <w:shd w:val="clear" w:color="auto" w:fill="C6D9F1" w:themeFill="text2" w:themeFillTint="33"/>
            <w:vAlign w:val="center"/>
          </w:tcPr>
          <w:p w:rsidR="0032021E" w:rsidRDefault="0032021E" w:rsidP="00CD2EB5">
            <w:pPr>
              <w:jc w:val="center"/>
            </w:pPr>
            <w:r>
              <w:t>G</w:t>
            </w:r>
          </w:p>
        </w:tc>
        <w:tc>
          <w:tcPr>
            <w:tcW w:w="8478" w:type="dxa"/>
          </w:tcPr>
          <w:p w:rsidR="00560553" w:rsidRDefault="0032021E" w:rsidP="003D4A41">
            <w:r>
              <w:t>Poor control over date field inputs:  More help and error checking on formatting of date inputs. Unless you click on the “today” button and edit to follow the format, chances are what you type in will either become wrong or not be in the standard searchable format.  P</w:t>
            </w:r>
            <w:r w:rsidR="00560553">
              <w:t>ete’s p</w:t>
            </w:r>
            <w:r>
              <w:t>revious converter controls may be the solution.</w:t>
            </w:r>
          </w:p>
          <w:p w:rsidR="0032021E" w:rsidRDefault="0032021E" w:rsidP="003D4A41">
            <w:r w:rsidRPr="00DC562F">
              <w:rPr>
                <w:b/>
              </w:rPr>
              <w:t>ACTION:</w:t>
            </w:r>
            <w:r>
              <w:t xml:space="preserve"> Chris will check with Pete</w:t>
            </w:r>
            <w:r w:rsidR="00560553">
              <w:t xml:space="preserve"> O.</w:t>
            </w:r>
            <w:r w:rsidR="000217F3">
              <w:t xml:space="preserve"> about previous converter controls on date format.</w:t>
            </w:r>
          </w:p>
        </w:tc>
      </w:tr>
      <w:tr w:rsidR="0032021E" w:rsidTr="00C44EC2">
        <w:trPr>
          <w:cantSplit/>
        </w:trPr>
        <w:tc>
          <w:tcPr>
            <w:tcW w:w="1098" w:type="dxa"/>
            <w:tcBorders>
              <w:bottom w:val="single" w:sz="4" w:space="0" w:color="auto"/>
            </w:tcBorders>
            <w:shd w:val="clear" w:color="auto" w:fill="C6D9F1" w:themeFill="text2" w:themeFillTint="33"/>
            <w:vAlign w:val="center"/>
          </w:tcPr>
          <w:p w:rsidR="0032021E" w:rsidRDefault="0032021E" w:rsidP="00CD2EB5">
            <w:pPr>
              <w:jc w:val="center"/>
            </w:pPr>
            <w:r>
              <w:t>M</w:t>
            </w:r>
          </w:p>
        </w:tc>
        <w:tc>
          <w:tcPr>
            <w:tcW w:w="8478" w:type="dxa"/>
          </w:tcPr>
          <w:p w:rsidR="000217F3" w:rsidRDefault="0032021E">
            <w:r>
              <w:t>Add some intelligence to detect URL separators so that they are not included in the hotlink or establish a policy of including no foreign characters to URLs. This is a nice-to-have programming improvement that would make the program more user-friendly</w:t>
            </w:r>
            <w:r w:rsidR="00560553">
              <w:t>.</w:t>
            </w:r>
          </w:p>
          <w:p w:rsidR="0032021E" w:rsidRDefault="000217F3">
            <w:r w:rsidRPr="00EC7483">
              <w:rPr>
                <w:b/>
              </w:rPr>
              <w:t>ACTION:</w:t>
            </w:r>
            <w:r>
              <w:rPr>
                <w:b/>
              </w:rPr>
              <w:t xml:space="preserve"> </w:t>
            </w:r>
            <w:r w:rsidR="0006054A">
              <w:t xml:space="preserve">Policy should be added to the help/tutorial/FAQ until such time as it is </w:t>
            </w:r>
            <w:r w:rsidR="0032021E">
              <w:t>feasible</w:t>
            </w:r>
            <w:r w:rsidR="0006054A">
              <w:t xml:space="preserve"> to add programmatically.</w:t>
            </w:r>
          </w:p>
        </w:tc>
      </w:tr>
      <w:tr w:rsidR="0032021E" w:rsidTr="00C44EC2">
        <w:trPr>
          <w:cantSplit/>
        </w:trPr>
        <w:tc>
          <w:tcPr>
            <w:tcW w:w="1098" w:type="dxa"/>
            <w:tcBorders>
              <w:bottom w:val="single" w:sz="4" w:space="0" w:color="auto"/>
            </w:tcBorders>
            <w:shd w:val="clear" w:color="auto" w:fill="C6D9F1" w:themeFill="text2" w:themeFillTint="33"/>
            <w:vAlign w:val="center"/>
          </w:tcPr>
          <w:p w:rsidR="0032021E" w:rsidRDefault="0032021E" w:rsidP="00CD2EB5">
            <w:pPr>
              <w:jc w:val="center"/>
            </w:pPr>
            <w:r>
              <w:t>O</w:t>
            </w:r>
          </w:p>
        </w:tc>
        <w:tc>
          <w:tcPr>
            <w:tcW w:w="8478" w:type="dxa"/>
          </w:tcPr>
          <w:p w:rsidR="0032021E" w:rsidRDefault="0032021E">
            <w:r>
              <w:t xml:space="preserve">Add editable contact information directly in three places in MME tabbed interface rather than the Access database. Jim G replies this will be complicated. </w:t>
            </w:r>
            <w:proofErr w:type="spellStart"/>
            <w:r>
              <w:t>MnGeo</w:t>
            </w:r>
            <w:proofErr w:type="spellEnd"/>
            <w:r>
              <w:t xml:space="preserve"> believes it will go a long way to improve usefulness of MME.</w:t>
            </w:r>
          </w:p>
          <w:p w:rsidR="0032021E" w:rsidRDefault="0032021E" w:rsidP="000217F3">
            <w:r>
              <w:br/>
              <w:t>NOTE: Even better would be to not use Access database at all – EME programmers are currently working on this for the next version (EME 4.x) due out in late summer</w:t>
            </w:r>
            <w:r w:rsidR="00560553">
              <w:t xml:space="preserve"> (beta testing beginning early June)</w:t>
            </w:r>
            <w:r>
              <w:t>.  This change presents a larger issue than we originally felt comfortable biting off in this MME enhancement effort.</w:t>
            </w:r>
          </w:p>
        </w:tc>
      </w:tr>
      <w:tr w:rsidR="00F72800" w:rsidTr="00C44EC2">
        <w:trPr>
          <w:cantSplit/>
        </w:trPr>
        <w:tc>
          <w:tcPr>
            <w:tcW w:w="1098" w:type="dxa"/>
            <w:shd w:val="clear" w:color="auto" w:fill="CCC0D9" w:themeFill="accent4" w:themeFillTint="66"/>
            <w:vAlign w:val="center"/>
          </w:tcPr>
          <w:p w:rsidR="00F72800" w:rsidRDefault="00F72800" w:rsidP="00B47584">
            <w:pPr>
              <w:jc w:val="center"/>
            </w:pPr>
            <w:r>
              <w:t>C</w:t>
            </w:r>
          </w:p>
        </w:tc>
        <w:tc>
          <w:tcPr>
            <w:tcW w:w="8478" w:type="dxa"/>
          </w:tcPr>
          <w:p w:rsidR="004D46FF" w:rsidRDefault="00F72800" w:rsidP="004D46FF">
            <w:r w:rsidRPr="00CD2EB5">
              <w:t>If you start with records created with other tools that used the FGDC or Esri editors, MME doesn’t always save edits to</w:t>
            </w:r>
            <w:r>
              <w:t xml:space="preserve"> the Lineage field</w:t>
            </w:r>
            <w:r w:rsidR="004D46FF">
              <w:t xml:space="preserve"> (which, in MGMG, has o</w:t>
            </w:r>
            <w:r>
              <w:t xml:space="preserve">nly one tag </w:t>
            </w:r>
            <w:r w:rsidR="004D46FF">
              <w:t>rather than tags for multiple process steps and source materials)</w:t>
            </w:r>
            <w:r>
              <w:t xml:space="preserve">. This presents import problems when FGDC metadata records are ingested into MME.  </w:t>
            </w:r>
            <w:r w:rsidR="004D46FF">
              <w:t>MK requests an example of offending metadata record.</w:t>
            </w:r>
          </w:p>
          <w:p w:rsidR="00F72800" w:rsidRDefault="004D46FF" w:rsidP="000217F3">
            <w:r w:rsidRPr="00EC7483">
              <w:rPr>
                <w:b/>
              </w:rPr>
              <w:t>ACTION:</w:t>
            </w:r>
            <w:r>
              <w:t xml:space="preserve"> </w:t>
            </w:r>
            <w:proofErr w:type="spellStart"/>
            <w:r>
              <w:t>MnGeo</w:t>
            </w:r>
            <w:proofErr w:type="spellEnd"/>
            <w:r>
              <w:t xml:space="preserve"> sent to Mark and Jim; they have not responded yet.</w:t>
            </w:r>
          </w:p>
        </w:tc>
      </w:tr>
      <w:tr w:rsidR="00EB40B7" w:rsidTr="00EC7483">
        <w:trPr>
          <w:cantSplit/>
        </w:trPr>
        <w:tc>
          <w:tcPr>
            <w:tcW w:w="1098" w:type="dxa"/>
            <w:tcBorders>
              <w:bottom w:val="single" w:sz="4" w:space="0" w:color="auto"/>
            </w:tcBorders>
            <w:shd w:val="clear" w:color="auto" w:fill="CCC0D9" w:themeFill="accent4" w:themeFillTint="66"/>
            <w:vAlign w:val="center"/>
          </w:tcPr>
          <w:p w:rsidR="00EB40B7" w:rsidRDefault="00EB40B7" w:rsidP="00EC7483">
            <w:pPr>
              <w:jc w:val="center"/>
            </w:pPr>
            <w:r>
              <w:lastRenderedPageBreak/>
              <w:t>E</w:t>
            </w:r>
          </w:p>
        </w:tc>
        <w:tc>
          <w:tcPr>
            <w:tcW w:w="8478" w:type="dxa"/>
          </w:tcPr>
          <w:p w:rsidR="004D46FF" w:rsidRDefault="00EB40B7" w:rsidP="00EC7483">
            <w:r>
              <w:t>If you start with records created with other tools that used the FGDC or Esri editors, MME doesn’t save edits to the Metadata Standard – Standard Link field.  Jim's Comments: I'd have to check this. It is likely that the incoming information is stored in a different set of tags than those that MGMG uses. MK requests an example</w:t>
            </w:r>
            <w:r w:rsidR="004D46FF">
              <w:t xml:space="preserve"> of offending metadata record.</w:t>
            </w:r>
          </w:p>
          <w:p w:rsidR="00EB40B7" w:rsidRDefault="00EB40B7" w:rsidP="00EC7483">
            <w:r w:rsidRPr="00DC562F">
              <w:rPr>
                <w:b/>
              </w:rPr>
              <w:t>ACTION:</w:t>
            </w:r>
            <w:r w:rsidR="004D46FF">
              <w:t xml:space="preserve"> </w:t>
            </w:r>
            <w:proofErr w:type="spellStart"/>
            <w:r w:rsidR="004D46FF">
              <w:t>MnGeo</w:t>
            </w:r>
            <w:proofErr w:type="spellEnd"/>
            <w:r w:rsidR="004D46FF">
              <w:t xml:space="preserve"> sent to M</w:t>
            </w:r>
            <w:r>
              <w:t>ark and Jim</w:t>
            </w:r>
            <w:r w:rsidR="004D46FF">
              <w:t>;</w:t>
            </w:r>
            <w:r>
              <w:t xml:space="preserve"> they have not responded yet.</w:t>
            </w:r>
          </w:p>
        </w:tc>
      </w:tr>
      <w:tr w:rsidR="00F72800" w:rsidTr="00C44EC2">
        <w:trPr>
          <w:cantSplit/>
        </w:trPr>
        <w:tc>
          <w:tcPr>
            <w:tcW w:w="1098" w:type="dxa"/>
            <w:tcBorders>
              <w:bottom w:val="single" w:sz="4" w:space="0" w:color="auto"/>
            </w:tcBorders>
            <w:vAlign w:val="center"/>
          </w:tcPr>
          <w:p w:rsidR="00F72800" w:rsidRDefault="00F72800" w:rsidP="00B47584">
            <w:pPr>
              <w:jc w:val="center"/>
            </w:pPr>
            <w:r>
              <w:t>F</w:t>
            </w:r>
            <w:r w:rsidRPr="008372A1">
              <w:rPr>
                <w:vertAlign w:val="subscript"/>
              </w:rPr>
              <w:t>2</w:t>
            </w:r>
          </w:p>
        </w:tc>
        <w:tc>
          <w:tcPr>
            <w:tcW w:w="8478" w:type="dxa"/>
          </w:tcPr>
          <w:p w:rsidR="00F72800" w:rsidRDefault="00F72800" w:rsidP="00B47584">
            <w:r>
              <w:t>Stearns County reports that c</w:t>
            </w:r>
            <w:r w:rsidRPr="00BF46C1">
              <w:t>omputer crashes after double-clicking the MetadataEditor.exe to open the prog</w:t>
            </w:r>
            <w:r>
              <w:t>ram</w:t>
            </w:r>
            <w:r w:rsidRPr="00BF46C1">
              <w:t>.  Problem solved:  Crashes were due to ru</w:t>
            </w:r>
            <w:r>
              <w:t>nning MME from a network drive</w:t>
            </w:r>
            <w:r w:rsidRPr="00BF46C1">
              <w:t>. Running a local copy has solved this problem so far.</w:t>
            </w:r>
          </w:p>
        </w:tc>
      </w:tr>
    </w:tbl>
    <w:p w:rsidR="00BD5F56" w:rsidRDefault="00BD5F56"/>
    <w:p w:rsidR="00F27D04" w:rsidRDefault="00F27D04"/>
    <w:p w:rsidR="000C68E6" w:rsidRDefault="000C68E6" w:rsidP="50F871BE">
      <w:pPr>
        <w:rPr>
          <w:color w:val="FF0000"/>
        </w:rPr>
      </w:pPr>
    </w:p>
    <w:p w:rsidR="00CB0239" w:rsidRDefault="00CB0239" w:rsidP="3FEDCAE8"/>
    <w:p w:rsidR="16C18F7F" w:rsidRDefault="16C18F7F" w:rsidP="16C18F7F"/>
    <w:p w:rsidR="009A3C3A" w:rsidRPr="009A3C3A" w:rsidRDefault="009A3C3A">
      <w:pPr>
        <w:rPr>
          <w:color w:val="FF0000"/>
        </w:rPr>
      </w:pPr>
    </w:p>
    <w:sectPr w:rsidR="009A3C3A" w:rsidRPr="009A3C3A" w:rsidSect="00B64E6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3A3" w:rsidRDefault="00BB13A3" w:rsidP="00FF2FA3">
      <w:r>
        <w:separator/>
      </w:r>
    </w:p>
  </w:endnote>
  <w:endnote w:type="continuationSeparator" w:id="0">
    <w:p w:rsidR="00BB13A3" w:rsidRDefault="00BB13A3" w:rsidP="00FF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349135"/>
      <w:docPartObj>
        <w:docPartGallery w:val="Page Numbers (Bottom of Page)"/>
        <w:docPartUnique/>
      </w:docPartObj>
    </w:sdtPr>
    <w:sdtEndPr>
      <w:rPr>
        <w:noProof/>
      </w:rPr>
    </w:sdtEndPr>
    <w:sdtContent>
      <w:p w:rsidR="00E04774" w:rsidRDefault="00F609A7">
        <w:pPr>
          <w:pStyle w:val="Footer"/>
          <w:jc w:val="right"/>
        </w:pPr>
        <w:r>
          <w:fldChar w:fldCharType="begin"/>
        </w:r>
        <w:r>
          <w:instrText xml:space="preserve"> PAGE   \* MERGEFORMAT </w:instrText>
        </w:r>
        <w:r>
          <w:fldChar w:fldCharType="separate"/>
        </w:r>
        <w:r w:rsidR="00DC562F">
          <w:rPr>
            <w:noProof/>
          </w:rPr>
          <w:t>1</w:t>
        </w:r>
        <w:r>
          <w:rPr>
            <w:noProof/>
          </w:rPr>
          <w:fldChar w:fldCharType="end"/>
        </w:r>
      </w:p>
    </w:sdtContent>
  </w:sdt>
  <w:p w:rsidR="00E04774" w:rsidRDefault="00E04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3A3" w:rsidRDefault="00BB13A3" w:rsidP="00FF2FA3">
      <w:r>
        <w:separator/>
      </w:r>
    </w:p>
  </w:footnote>
  <w:footnote w:type="continuationSeparator" w:id="0">
    <w:p w:rsidR="00BB13A3" w:rsidRDefault="00BB13A3" w:rsidP="00FF2FA3">
      <w:r>
        <w:continuationSeparator/>
      </w:r>
    </w:p>
  </w:footnote>
  <w:footnote w:id="1">
    <w:p w:rsidR="00A57A35" w:rsidRDefault="00A57A35">
      <w:pPr>
        <w:pStyle w:val="FootnoteText"/>
      </w:pPr>
      <w:r>
        <w:rPr>
          <w:rStyle w:val="FootnoteReference"/>
        </w:rPr>
        <w:footnoteRef/>
      </w:r>
      <w:r>
        <w:t xml:space="preserve"> Currently, the county name that’s first in alphabetic order appears. For example, although “Zone 39 Stearns” can be selected from the menu, subsequently, it appears as “Zone 39 Pope”. This does not affect the metadata </w:t>
      </w:r>
      <w:r w:rsidRPr="00DC562F">
        <w:rPr>
          <w:b/>
        </w:rPr>
        <w:t>content</w:t>
      </w:r>
      <w:r>
        <w:t xml:space="preserve"> of either the XML or HTML (since it’s correctly saved as “Zone 39”), but is disconcerting to MME users who are editing the record.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458"/>
    <w:multiLevelType w:val="hybridMultilevel"/>
    <w:tmpl w:val="E40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2148"/>
    <w:multiLevelType w:val="hybridMultilevel"/>
    <w:tmpl w:val="056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E05F5"/>
    <w:multiLevelType w:val="hybridMultilevel"/>
    <w:tmpl w:val="58AA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E7EF2"/>
    <w:multiLevelType w:val="hybridMultilevel"/>
    <w:tmpl w:val="C9B6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632F"/>
    <w:multiLevelType w:val="hybridMultilevel"/>
    <w:tmpl w:val="B43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54B12"/>
    <w:multiLevelType w:val="hybridMultilevel"/>
    <w:tmpl w:val="2F3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544B7"/>
    <w:multiLevelType w:val="hybridMultilevel"/>
    <w:tmpl w:val="BA98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702E4"/>
    <w:multiLevelType w:val="hybridMultilevel"/>
    <w:tmpl w:val="148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621A0"/>
    <w:multiLevelType w:val="hybridMultilevel"/>
    <w:tmpl w:val="7638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489F"/>
    <w:multiLevelType w:val="hybridMultilevel"/>
    <w:tmpl w:val="7A242C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2C414A"/>
    <w:multiLevelType w:val="hybridMultilevel"/>
    <w:tmpl w:val="EE1C5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844D2F"/>
    <w:multiLevelType w:val="hybridMultilevel"/>
    <w:tmpl w:val="FC5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64FCA"/>
    <w:multiLevelType w:val="hybridMultilevel"/>
    <w:tmpl w:val="EAAA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AF10A6"/>
    <w:multiLevelType w:val="multilevel"/>
    <w:tmpl w:val="CA106A7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nsid w:val="3ABA2A53"/>
    <w:multiLevelType w:val="hybridMultilevel"/>
    <w:tmpl w:val="D654D1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C663B1"/>
    <w:multiLevelType w:val="hybridMultilevel"/>
    <w:tmpl w:val="6D90B1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2626E6"/>
    <w:multiLevelType w:val="hybridMultilevel"/>
    <w:tmpl w:val="E362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63ABA"/>
    <w:multiLevelType w:val="hybridMultilevel"/>
    <w:tmpl w:val="7CC050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3C0503"/>
    <w:multiLevelType w:val="hybridMultilevel"/>
    <w:tmpl w:val="F0581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91351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nsid w:val="636158CF"/>
    <w:multiLevelType w:val="hybridMultilevel"/>
    <w:tmpl w:val="264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B96198"/>
    <w:multiLevelType w:val="hybridMultilevel"/>
    <w:tmpl w:val="5D1C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427EF"/>
    <w:multiLevelType w:val="hybridMultilevel"/>
    <w:tmpl w:val="7904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86138"/>
    <w:multiLevelType w:val="hybridMultilevel"/>
    <w:tmpl w:val="FAEE0B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D784336"/>
    <w:multiLevelType w:val="hybridMultilevel"/>
    <w:tmpl w:val="3B161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8"/>
  </w:num>
  <w:num w:numId="4">
    <w:abstractNumId w:val="1"/>
  </w:num>
  <w:num w:numId="5">
    <w:abstractNumId w:val="8"/>
  </w:num>
  <w:num w:numId="6">
    <w:abstractNumId w:val="24"/>
  </w:num>
  <w:num w:numId="7">
    <w:abstractNumId w:val="20"/>
  </w:num>
  <w:num w:numId="8">
    <w:abstractNumId w:val="5"/>
  </w:num>
  <w:num w:numId="9">
    <w:abstractNumId w:val="3"/>
  </w:num>
  <w:num w:numId="10">
    <w:abstractNumId w:val="2"/>
  </w:num>
  <w:num w:numId="11">
    <w:abstractNumId w:val="7"/>
  </w:num>
  <w:num w:numId="12">
    <w:abstractNumId w:val="0"/>
  </w:num>
  <w:num w:numId="13">
    <w:abstractNumId w:val="11"/>
  </w:num>
  <w:num w:numId="14">
    <w:abstractNumId w:val="12"/>
  </w:num>
  <w:num w:numId="15">
    <w:abstractNumId w:val="22"/>
  </w:num>
  <w:num w:numId="16">
    <w:abstractNumId w:val="4"/>
  </w:num>
  <w:num w:numId="17">
    <w:abstractNumId w:val="21"/>
  </w:num>
  <w:num w:numId="18">
    <w:abstractNumId w:val="17"/>
  </w:num>
  <w:num w:numId="19">
    <w:abstractNumId w:val="15"/>
  </w:num>
  <w:num w:numId="20">
    <w:abstractNumId w:val="14"/>
  </w:num>
  <w:num w:numId="21">
    <w:abstractNumId w:val="23"/>
  </w:num>
  <w:num w:numId="22">
    <w:abstractNumId w:val="9"/>
  </w:num>
  <w:num w:numId="23">
    <w:abstractNumId w:val="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95"/>
    <w:rsid w:val="000217F3"/>
    <w:rsid w:val="000364B8"/>
    <w:rsid w:val="0006054A"/>
    <w:rsid w:val="0006284C"/>
    <w:rsid w:val="00066697"/>
    <w:rsid w:val="0007181D"/>
    <w:rsid w:val="00076491"/>
    <w:rsid w:val="00084B30"/>
    <w:rsid w:val="000A42F4"/>
    <w:rsid w:val="000C68E6"/>
    <w:rsid w:val="000E3420"/>
    <w:rsid w:val="000E3E1A"/>
    <w:rsid w:val="000F205D"/>
    <w:rsid w:val="00122372"/>
    <w:rsid w:val="00132A09"/>
    <w:rsid w:val="0014603F"/>
    <w:rsid w:val="00171F89"/>
    <w:rsid w:val="00173F4B"/>
    <w:rsid w:val="0018250D"/>
    <w:rsid w:val="00185306"/>
    <w:rsid w:val="00185BA6"/>
    <w:rsid w:val="00186287"/>
    <w:rsid w:val="001A340E"/>
    <w:rsid w:val="001B63E2"/>
    <w:rsid w:val="001D7D0A"/>
    <w:rsid w:val="001E0E9C"/>
    <w:rsid w:val="001F5E34"/>
    <w:rsid w:val="00216E23"/>
    <w:rsid w:val="002377C3"/>
    <w:rsid w:val="00253BB1"/>
    <w:rsid w:val="00254974"/>
    <w:rsid w:val="00256B00"/>
    <w:rsid w:val="002829D5"/>
    <w:rsid w:val="0029709C"/>
    <w:rsid w:val="00297B64"/>
    <w:rsid w:val="002A03DF"/>
    <w:rsid w:val="002B0155"/>
    <w:rsid w:val="002B529C"/>
    <w:rsid w:val="002D03C7"/>
    <w:rsid w:val="002E1D4E"/>
    <w:rsid w:val="002F15A0"/>
    <w:rsid w:val="003056C6"/>
    <w:rsid w:val="00306019"/>
    <w:rsid w:val="0032021E"/>
    <w:rsid w:val="00322DD4"/>
    <w:rsid w:val="0035595E"/>
    <w:rsid w:val="0038461D"/>
    <w:rsid w:val="003B77DD"/>
    <w:rsid w:val="003D1F54"/>
    <w:rsid w:val="003D4A41"/>
    <w:rsid w:val="00405AAB"/>
    <w:rsid w:val="00420D0D"/>
    <w:rsid w:val="00452EBE"/>
    <w:rsid w:val="00480FAE"/>
    <w:rsid w:val="00486084"/>
    <w:rsid w:val="00494BA8"/>
    <w:rsid w:val="004A0AC2"/>
    <w:rsid w:val="004A5474"/>
    <w:rsid w:val="004D46FF"/>
    <w:rsid w:val="004D4C32"/>
    <w:rsid w:val="00503201"/>
    <w:rsid w:val="005227B9"/>
    <w:rsid w:val="005419FB"/>
    <w:rsid w:val="00560553"/>
    <w:rsid w:val="00575B9F"/>
    <w:rsid w:val="0058646A"/>
    <w:rsid w:val="005A07B4"/>
    <w:rsid w:val="005B7D4E"/>
    <w:rsid w:val="005C7C81"/>
    <w:rsid w:val="005D137B"/>
    <w:rsid w:val="005D27CC"/>
    <w:rsid w:val="005E4090"/>
    <w:rsid w:val="00604081"/>
    <w:rsid w:val="00614C3C"/>
    <w:rsid w:val="00633377"/>
    <w:rsid w:val="006401D0"/>
    <w:rsid w:val="00644F88"/>
    <w:rsid w:val="006533A9"/>
    <w:rsid w:val="00655D34"/>
    <w:rsid w:val="00667C2C"/>
    <w:rsid w:val="006840AB"/>
    <w:rsid w:val="006957ED"/>
    <w:rsid w:val="006A0221"/>
    <w:rsid w:val="006A7656"/>
    <w:rsid w:val="006B32DF"/>
    <w:rsid w:val="006B5C6A"/>
    <w:rsid w:val="006C476D"/>
    <w:rsid w:val="006F2C0A"/>
    <w:rsid w:val="006F5345"/>
    <w:rsid w:val="00704727"/>
    <w:rsid w:val="00723F0E"/>
    <w:rsid w:val="0073316D"/>
    <w:rsid w:val="0073494C"/>
    <w:rsid w:val="007429AE"/>
    <w:rsid w:val="0077072A"/>
    <w:rsid w:val="00773AC7"/>
    <w:rsid w:val="00777B25"/>
    <w:rsid w:val="007805FD"/>
    <w:rsid w:val="00786206"/>
    <w:rsid w:val="007C7342"/>
    <w:rsid w:val="007E0AC7"/>
    <w:rsid w:val="007E49A5"/>
    <w:rsid w:val="00811720"/>
    <w:rsid w:val="008134F4"/>
    <w:rsid w:val="00817612"/>
    <w:rsid w:val="008343F5"/>
    <w:rsid w:val="008357BC"/>
    <w:rsid w:val="008372A1"/>
    <w:rsid w:val="00850491"/>
    <w:rsid w:val="00861F60"/>
    <w:rsid w:val="008911AA"/>
    <w:rsid w:val="00891638"/>
    <w:rsid w:val="008A2AD1"/>
    <w:rsid w:val="008A4F69"/>
    <w:rsid w:val="008D5EA8"/>
    <w:rsid w:val="009125BC"/>
    <w:rsid w:val="00935FBF"/>
    <w:rsid w:val="00936A70"/>
    <w:rsid w:val="00977950"/>
    <w:rsid w:val="00986B7F"/>
    <w:rsid w:val="009878D6"/>
    <w:rsid w:val="00995C1B"/>
    <w:rsid w:val="009A3C3A"/>
    <w:rsid w:val="009B37C5"/>
    <w:rsid w:val="009C7EE8"/>
    <w:rsid w:val="009E41E0"/>
    <w:rsid w:val="009F28F1"/>
    <w:rsid w:val="00A0024D"/>
    <w:rsid w:val="00A07BD9"/>
    <w:rsid w:val="00A10630"/>
    <w:rsid w:val="00A1532C"/>
    <w:rsid w:val="00A16CB0"/>
    <w:rsid w:val="00A22895"/>
    <w:rsid w:val="00A238CD"/>
    <w:rsid w:val="00A24831"/>
    <w:rsid w:val="00A46D4A"/>
    <w:rsid w:val="00A516E6"/>
    <w:rsid w:val="00A57A35"/>
    <w:rsid w:val="00A601BD"/>
    <w:rsid w:val="00A759B6"/>
    <w:rsid w:val="00A96C82"/>
    <w:rsid w:val="00AA4355"/>
    <w:rsid w:val="00AA4D78"/>
    <w:rsid w:val="00AB09EC"/>
    <w:rsid w:val="00AB3CEA"/>
    <w:rsid w:val="00AC1F81"/>
    <w:rsid w:val="00AC6789"/>
    <w:rsid w:val="00AE436A"/>
    <w:rsid w:val="00AF2661"/>
    <w:rsid w:val="00B113A9"/>
    <w:rsid w:val="00B16D1A"/>
    <w:rsid w:val="00B251BC"/>
    <w:rsid w:val="00B31D0A"/>
    <w:rsid w:val="00B35E1E"/>
    <w:rsid w:val="00B54AD5"/>
    <w:rsid w:val="00B63FEF"/>
    <w:rsid w:val="00B64E63"/>
    <w:rsid w:val="00B74314"/>
    <w:rsid w:val="00B8421E"/>
    <w:rsid w:val="00BB13A3"/>
    <w:rsid w:val="00BB2A49"/>
    <w:rsid w:val="00BB2B32"/>
    <w:rsid w:val="00BC144D"/>
    <w:rsid w:val="00BC1D59"/>
    <w:rsid w:val="00BC372A"/>
    <w:rsid w:val="00BD5F56"/>
    <w:rsid w:val="00BF202B"/>
    <w:rsid w:val="00BF358A"/>
    <w:rsid w:val="00BF46C1"/>
    <w:rsid w:val="00C24093"/>
    <w:rsid w:val="00C30B7B"/>
    <w:rsid w:val="00C3505B"/>
    <w:rsid w:val="00C44EC2"/>
    <w:rsid w:val="00C5633A"/>
    <w:rsid w:val="00C71960"/>
    <w:rsid w:val="00CB0239"/>
    <w:rsid w:val="00CD2EB5"/>
    <w:rsid w:val="00CE13F3"/>
    <w:rsid w:val="00CE49CE"/>
    <w:rsid w:val="00CE538D"/>
    <w:rsid w:val="00CF7168"/>
    <w:rsid w:val="00D0207B"/>
    <w:rsid w:val="00D05343"/>
    <w:rsid w:val="00D32458"/>
    <w:rsid w:val="00D43066"/>
    <w:rsid w:val="00D46FA2"/>
    <w:rsid w:val="00D5561C"/>
    <w:rsid w:val="00D64679"/>
    <w:rsid w:val="00D82778"/>
    <w:rsid w:val="00D84591"/>
    <w:rsid w:val="00D95B41"/>
    <w:rsid w:val="00D96CAF"/>
    <w:rsid w:val="00D97C70"/>
    <w:rsid w:val="00DA4143"/>
    <w:rsid w:val="00DA46DA"/>
    <w:rsid w:val="00DB1487"/>
    <w:rsid w:val="00DB2198"/>
    <w:rsid w:val="00DB4622"/>
    <w:rsid w:val="00DC42B8"/>
    <w:rsid w:val="00DC4882"/>
    <w:rsid w:val="00DC562F"/>
    <w:rsid w:val="00DF65AE"/>
    <w:rsid w:val="00E04774"/>
    <w:rsid w:val="00E15475"/>
    <w:rsid w:val="00E243BA"/>
    <w:rsid w:val="00E2639A"/>
    <w:rsid w:val="00E40C17"/>
    <w:rsid w:val="00E46C03"/>
    <w:rsid w:val="00E61EA3"/>
    <w:rsid w:val="00E6226A"/>
    <w:rsid w:val="00E6418D"/>
    <w:rsid w:val="00E80019"/>
    <w:rsid w:val="00E81AF3"/>
    <w:rsid w:val="00E86818"/>
    <w:rsid w:val="00E93B58"/>
    <w:rsid w:val="00EA1305"/>
    <w:rsid w:val="00EB40B7"/>
    <w:rsid w:val="00EE14F3"/>
    <w:rsid w:val="00F05DBA"/>
    <w:rsid w:val="00F27D04"/>
    <w:rsid w:val="00F34A60"/>
    <w:rsid w:val="00F51165"/>
    <w:rsid w:val="00F564A0"/>
    <w:rsid w:val="00F609A7"/>
    <w:rsid w:val="00F72800"/>
    <w:rsid w:val="00FB6E54"/>
    <w:rsid w:val="00FC05E5"/>
    <w:rsid w:val="00FD5C16"/>
    <w:rsid w:val="00FE0D7C"/>
    <w:rsid w:val="00FE178C"/>
    <w:rsid w:val="00FE5AFB"/>
    <w:rsid w:val="00FF2FA3"/>
    <w:rsid w:val="00FF4EDA"/>
    <w:rsid w:val="00FF6A3A"/>
    <w:rsid w:val="16C18F7F"/>
    <w:rsid w:val="3FEDCAE8"/>
    <w:rsid w:val="41F6F2FE"/>
    <w:rsid w:val="50F871BE"/>
    <w:rsid w:val="57C7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F3"/>
  </w:style>
  <w:style w:type="paragraph" w:styleId="Heading1">
    <w:name w:val="heading 1"/>
    <w:basedOn w:val="Normal"/>
    <w:next w:val="Normal"/>
    <w:link w:val="Heading1Char"/>
    <w:uiPriority w:val="9"/>
    <w:qFormat/>
    <w:rsid w:val="00B113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3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F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201"/>
    <w:rPr>
      <w:color w:val="0000FF" w:themeColor="hyperlink"/>
      <w:u w:val="single"/>
    </w:rPr>
  </w:style>
  <w:style w:type="character" w:customStyle="1" w:styleId="Heading1Char">
    <w:name w:val="Heading 1 Char"/>
    <w:basedOn w:val="DefaultParagraphFont"/>
    <w:link w:val="Heading1"/>
    <w:uiPriority w:val="9"/>
    <w:rsid w:val="00B113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13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13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3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13A9"/>
    <w:pPr>
      <w:ind w:left="720"/>
      <w:contextualSpacing/>
    </w:pPr>
  </w:style>
  <w:style w:type="paragraph" w:styleId="FootnoteText">
    <w:name w:val="footnote text"/>
    <w:basedOn w:val="Normal"/>
    <w:link w:val="FootnoteTextChar"/>
    <w:uiPriority w:val="99"/>
    <w:semiHidden/>
    <w:unhideWhenUsed/>
    <w:rsid w:val="00FF2FA3"/>
    <w:rPr>
      <w:sz w:val="20"/>
      <w:szCs w:val="20"/>
    </w:rPr>
  </w:style>
  <w:style w:type="character" w:customStyle="1" w:styleId="FootnoteTextChar">
    <w:name w:val="Footnote Text Char"/>
    <w:basedOn w:val="DefaultParagraphFont"/>
    <w:link w:val="FootnoteText"/>
    <w:uiPriority w:val="99"/>
    <w:semiHidden/>
    <w:rsid w:val="00FF2FA3"/>
    <w:rPr>
      <w:sz w:val="20"/>
      <w:szCs w:val="20"/>
    </w:rPr>
  </w:style>
  <w:style w:type="character" w:styleId="FootnoteReference">
    <w:name w:val="footnote reference"/>
    <w:basedOn w:val="DefaultParagraphFont"/>
    <w:uiPriority w:val="99"/>
    <w:semiHidden/>
    <w:unhideWhenUsed/>
    <w:rsid w:val="00FF2FA3"/>
    <w:rPr>
      <w:vertAlign w:val="superscript"/>
    </w:rPr>
  </w:style>
  <w:style w:type="paragraph" w:styleId="Header">
    <w:name w:val="header"/>
    <w:basedOn w:val="Normal"/>
    <w:link w:val="HeaderChar"/>
    <w:uiPriority w:val="99"/>
    <w:unhideWhenUsed/>
    <w:rsid w:val="00D5561C"/>
    <w:pPr>
      <w:tabs>
        <w:tab w:val="center" w:pos="4680"/>
        <w:tab w:val="right" w:pos="9360"/>
      </w:tabs>
    </w:pPr>
  </w:style>
  <w:style w:type="character" w:customStyle="1" w:styleId="HeaderChar">
    <w:name w:val="Header Char"/>
    <w:basedOn w:val="DefaultParagraphFont"/>
    <w:link w:val="Header"/>
    <w:uiPriority w:val="99"/>
    <w:rsid w:val="00D5561C"/>
  </w:style>
  <w:style w:type="paragraph" w:styleId="Footer">
    <w:name w:val="footer"/>
    <w:basedOn w:val="Normal"/>
    <w:link w:val="FooterChar"/>
    <w:uiPriority w:val="99"/>
    <w:unhideWhenUsed/>
    <w:rsid w:val="00D5561C"/>
    <w:pPr>
      <w:tabs>
        <w:tab w:val="center" w:pos="4680"/>
        <w:tab w:val="right" w:pos="9360"/>
      </w:tabs>
    </w:pPr>
  </w:style>
  <w:style w:type="character" w:customStyle="1" w:styleId="FooterChar">
    <w:name w:val="Footer Char"/>
    <w:basedOn w:val="DefaultParagraphFont"/>
    <w:link w:val="Footer"/>
    <w:uiPriority w:val="99"/>
    <w:rsid w:val="00D5561C"/>
  </w:style>
  <w:style w:type="character" w:styleId="CommentReference">
    <w:name w:val="annotation reference"/>
    <w:basedOn w:val="DefaultParagraphFont"/>
    <w:uiPriority w:val="99"/>
    <w:semiHidden/>
    <w:unhideWhenUsed/>
    <w:rsid w:val="00C3505B"/>
    <w:rPr>
      <w:sz w:val="16"/>
      <w:szCs w:val="16"/>
    </w:rPr>
  </w:style>
  <w:style w:type="paragraph" w:styleId="CommentText">
    <w:name w:val="annotation text"/>
    <w:basedOn w:val="Normal"/>
    <w:link w:val="CommentTextChar"/>
    <w:uiPriority w:val="99"/>
    <w:semiHidden/>
    <w:unhideWhenUsed/>
    <w:rsid w:val="00C3505B"/>
    <w:rPr>
      <w:sz w:val="20"/>
      <w:szCs w:val="20"/>
    </w:rPr>
  </w:style>
  <w:style w:type="character" w:customStyle="1" w:styleId="CommentTextChar">
    <w:name w:val="Comment Text Char"/>
    <w:basedOn w:val="DefaultParagraphFont"/>
    <w:link w:val="CommentText"/>
    <w:uiPriority w:val="99"/>
    <w:semiHidden/>
    <w:rsid w:val="00C3505B"/>
    <w:rPr>
      <w:sz w:val="20"/>
      <w:szCs w:val="20"/>
    </w:rPr>
  </w:style>
  <w:style w:type="paragraph" w:styleId="CommentSubject">
    <w:name w:val="annotation subject"/>
    <w:basedOn w:val="CommentText"/>
    <w:next w:val="CommentText"/>
    <w:link w:val="CommentSubjectChar"/>
    <w:uiPriority w:val="99"/>
    <w:semiHidden/>
    <w:unhideWhenUsed/>
    <w:rsid w:val="00C3505B"/>
    <w:rPr>
      <w:b/>
      <w:bCs/>
    </w:rPr>
  </w:style>
  <w:style w:type="character" w:customStyle="1" w:styleId="CommentSubjectChar">
    <w:name w:val="Comment Subject Char"/>
    <w:basedOn w:val="CommentTextChar"/>
    <w:link w:val="CommentSubject"/>
    <w:uiPriority w:val="99"/>
    <w:semiHidden/>
    <w:rsid w:val="00C3505B"/>
    <w:rPr>
      <w:b/>
      <w:bCs/>
      <w:sz w:val="20"/>
      <w:szCs w:val="20"/>
    </w:rPr>
  </w:style>
  <w:style w:type="paragraph" w:styleId="BalloonText">
    <w:name w:val="Balloon Text"/>
    <w:basedOn w:val="Normal"/>
    <w:link w:val="BalloonTextChar"/>
    <w:uiPriority w:val="99"/>
    <w:semiHidden/>
    <w:unhideWhenUsed/>
    <w:rsid w:val="00C3505B"/>
    <w:rPr>
      <w:rFonts w:ascii="Tahoma" w:hAnsi="Tahoma" w:cs="Tahoma"/>
      <w:sz w:val="16"/>
      <w:szCs w:val="16"/>
    </w:rPr>
  </w:style>
  <w:style w:type="character" w:customStyle="1" w:styleId="BalloonTextChar">
    <w:name w:val="Balloon Text Char"/>
    <w:basedOn w:val="DefaultParagraphFont"/>
    <w:link w:val="BalloonText"/>
    <w:uiPriority w:val="99"/>
    <w:semiHidden/>
    <w:rsid w:val="00C3505B"/>
    <w:rPr>
      <w:rFonts w:ascii="Tahoma" w:hAnsi="Tahoma" w:cs="Tahoma"/>
      <w:sz w:val="16"/>
      <w:szCs w:val="16"/>
    </w:rPr>
  </w:style>
  <w:style w:type="character" w:styleId="FollowedHyperlink">
    <w:name w:val="FollowedHyperlink"/>
    <w:basedOn w:val="DefaultParagraphFont"/>
    <w:uiPriority w:val="99"/>
    <w:semiHidden/>
    <w:unhideWhenUsed/>
    <w:rsid w:val="0018250D"/>
    <w:rPr>
      <w:color w:val="800080" w:themeColor="followedHyperlink"/>
      <w:u w:val="single"/>
    </w:rPr>
  </w:style>
  <w:style w:type="table" w:styleId="TableGrid">
    <w:name w:val="Table Grid"/>
    <w:basedOn w:val="TableNormal"/>
    <w:uiPriority w:val="59"/>
    <w:rsid w:val="00604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46F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F3"/>
  </w:style>
  <w:style w:type="paragraph" w:styleId="Heading1">
    <w:name w:val="heading 1"/>
    <w:basedOn w:val="Normal"/>
    <w:next w:val="Normal"/>
    <w:link w:val="Heading1Char"/>
    <w:uiPriority w:val="9"/>
    <w:qFormat/>
    <w:rsid w:val="00B113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3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F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201"/>
    <w:rPr>
      <w:color w:val="0000FF" w:themeColor="hyperlink"/>
      <w:u w:val="single"/>
    </w:rPr>
  </w:style>
  <w:style w:type="character" w:customStyle="1" w:styleId="Heading1Char">
    <w:name w:val="Heading 1 Char"/>
    <w:basedOn w:val="DefaultParagraphFont"/>
    <w:link w:val="Heading1"/>
    <w:uiPriority w:val="9"/>
    <w:rsid w:val="00B113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13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13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3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13A9"/>
    <w:pPr>
      <w:ind w:left="720"/>
      <w:contextualSpacing/>
    </w:pPr>
  </w:style>
  <w:style w:type="paragraph" w:styleId="FootnoteText">
    <w:name w:val="footnote text"/>
    <w:basedOn w:val="Normal"/>
    <w:link w:val="FootnoteTextChar"/>
    <w:uiPriority w:val="99"/>
    <w:semiHidden/>
    <w:unhideWhenUsed/>
    <w:rsid w:val="00FF2FA3"/>
    <w:rPr>
      <w:sz w:val="20"/>
      <w:szCs w:val="20"/>
    </w:rPr>
  </w:style>
  <w:style w:type="character" w:customStyle="1" w:styleId="FootnoteTextChar">
    <w:name w:val="Footnote Text Char"/>
    <w:basedOn w:val="DefaultParagraphFont"/>
    <w:link w:val="FootnoteText"/>
    <w:uiPriority w:val="99"/>
    <w:semiHidden/>
    <w:rsid w:val="00FF2FA3"/>
    <w:rPr>
      <w:sz w:val="20"/>
      <w:szCs w:val="20"/>
    </w:rPr>
  </w:style>
  <w:style w:type="character" w:styleId="FootnoteReference">
    <w:name w:val="footnote reference"/>
    <w:basedOn w:val="DefaultParagraphFont"/>
    <w:uiPriority w:val="99"/>
    <w:semiHidden/>
    <w:unhideWhenUsed/>
    <w:rsid w:val="00FF2FA3"/>
    <w:rPr>
      <w:vertAlign w:val="superscript"/>
    </w:rPr>
  </w:style>
  <w:style w:type="paragraph" w:styleId="Header">
    <w:name w:val="header"/>
    <w:basedOn w:val="Normal"/>
    <w:link w:val="HeaderChar"/>
    <w:uiPriority w:val="99"/>
    <w:unhideWhenUsed/>
    <w:rsid w:val="00D5561C"/>
    <w:pPr>
      <w:tabs>
        <w:tab w:val="center" w:pos="4680"/>
        <w:tab w:val="right" w:pos="9360"/>
      </w:tabs>
    </w:pPr>
  </w:style>
  <w:style w:type="character" w:customStyle="1" w:styleId="HeaderChar">
    <w:name w:val="Header Char"/>
    <w:basedOn w:val="DefaultParagraphFont"/>
    <w:link w:val="Header"/>
    <w:uiPriority w:val="99"/>
    <w:rsid w:val="00D5561C"/>
  </w:style>
  <w:style w:type="paragraph" w:styleId="Footer">
    <w:name w:val="footer"/>
    <w:basedOn w:val="Normal"/>
    <w:link w:val="FooterChar"/>
    <w:uiPriority w:val="99"/>
    <w:unhideWhenUsed/>
    <w:rsid w:val="00D5561C"/>
    <w:pPr>
      <w:tabs>
        <w:tab w:val="center" w:pos="4680"/>
        <w:tab w:val="right" w:pos="9360"/>
      </w:tabs>
    </w:pPr>
  </w:style>
  <w:style w:type="character" w:customStyle="1" w:styleId="FooterChar">
    <w:name w:val="Footer Char"/>
    <w:basedOn w:val="DefaultParagraphFont"/>
    <w:link w:val="Footer"/>
    <w:uiPriority w:val="99"/>
    <w:rsid w:val="00D5561C"/>
  </w:style>
  <w:style w:type="character" w:styleId="CommentReference">
    <w:name w:val="annotation reference"/>
    <w:basedOn w:val="DefaultParagraphFont"/>
    <w:uiPriority w:val="99"/>
    <w:semiHidden/>
    <w:unhideWhenUsed/>
    <w:rsid w:val="00C3505B"/>
    <w:rPr>
      <w:sz w:val="16"/>
      <w:szCs w:val="16"/>
    </w:rPr>
  </w:style>
  <w:style w:type="paragraph" w:styleId="CommentText">
    <w:name w:val="annotation text"/>
    <w:basedOn w:val="Normal"/>
    <w:link w:val="CommentTextChar"/>
    <w:uiPriority w:val="99"/>
    <w:semiHidden/>
    <w:unhideWhenUsed/>
    <w:rsid w:val="00C3505B"/>
    <w:rPr>
      <w:sz w:val="20"/>
      <w:szCs w:val="20"/>
    </w:rPr>
  </w:style>
  <w:style w:type="character" w:customStyle="1" w:styleId="CommentTextChar">
    <w:name w:val="Comment Text Char"/>
    <w:basedOn w:val="DefaultParagraphFont"/>
    <w:link w:val="CommentText"/>
    <w:uiPriority w:val="99"/>
    <w:semiHidden/>
    <w:rsid w:val="00C3505B"/>
    <w:rPr>
      <w:sz w:val="20"/>
      <w:szCs w:val="20"/>
    </w:rPr>
  </w:style>
  <w:style w:type="paragraph" w:styleId="CommentSubject">
    <w:name w:val="annotation subject"/>
    <w:basedOn w:val="CommentText"/>
    <w:next w:val="CommentText"/>
    <w:link w:val="CommentSubjectChar"/>
    <w:uiPriority w:val="99"/>
    <w:semiHidden/>
    <w:unhideWhenUsed/>
    <w:rsid w:val="00C3505B"/>
    <w:rPr>
      <w:b/>
      <w:bCs/>
    </w:rPr>
  </w:style>
  <w:style w:type="character" w:customStyle="1" w:styleId="CommentSubjectChar">
    <w:name w:val="Comment Subject Char"/>
    <w:basedOn w:val="CommentTextChar"/>
    <w:link w:val="CommentSubject"/>
    <w:uiPriority w:val="99"/>
    <w:semiHidden/>
    <w:rsid w:val="00C3505B"/>
    <w:rPr>
      <w:b/>
      <w:bCs/>
      <w:sz w:val="20"/>
      <w:szCs w:val="20"/>
    </w:rPr>
  </w:style>
  <w:style w:type="paragraph" w:styleId="BalloonText">
    <w:name w:val="Balloon Text"/>
    <w:basedOn w:val="Normal"/>
    <w:link w:val="BalloonTextChar"/>
    <w:uiPriority w:val="99"/>
    <w:semiHidden/>
    <w:unhideWhenUsed/>
    <w:rsid w:val="00C3505B"/>
    <w:rPr>
      <w:rFonts w:ascii="Tahoma" w:hAnsi="Tahoma" w:cs="Tahoma"/>
      <w:sz w:val="16"/>
      <w:szCs w:val="16"/>
    </w:rPr>
  </w:style>
  <w:style w:type="character" w:customStyle="1" w:styleId="BalloonTextChar">
    <w:name w:val="Balloon Text Char"/>
    <w:basedOn w:val="DefaultParagraphFont"/>
    <w:link w:val="BalloonText"/>
    <w:uiPriority w:val="99"/>
    <w:semiHidden/>
    <w:rsid w:val="00C3505B"/>
    <w:rPr>
      <w:rFonts w:ascii="Tahoma" w:hAnsi="Tahoma" w:cs="Tahoma"/>
      <w:sz w:val="16"/>
      <w:szCs w:val="16"/>
    </w:rPr>
  </w:style>
  <w:style w:type="character" w:styleId="FollowedHyperlink">
    <w:name w:val="FollowedHyperlink"/>
    <w:basedOn w:val="DefaultParagraphFont"/>
    <w:uiPriority w:val="99"/>
    <w:semiHidden/>
    <w:unhideWhenUsed/>
    <w:rsid w:val="0018250D"/>
    <w:rPr>
      <w:color w:val="800080" w:themeColor="followedHyperlink"/>
      <w:u w:val="single"/>
    </w:rPr>
  </w:style>
  <w:style w:type="table" w:styleId="TableGrid">
    <w:name w:val="Table Grid"/>
    <w:basedOn w:val="TableNormal"/>
    <w:uiPriority w:val="59"/>
    <w:rsid w:val="00604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46F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03610">
      <w:bodyDiv w:val="1"/>
      <w:marLeft w:val="0"/>
      <w:marRight w:val="0"/>
      <w:marTop w:val="0"/>
      <w:marBottom w:val="0"/>
      <w:divBdr>
        <w:top w:val="none" w:sz="0" w:space="0" w:color="auto"/>
        <w:left w:val="none" w:sz="0" w:space="0" w:color="auto"/>
        <w:bottom w:val="none" w:sz="0" w:space="0" w:color="auto"/>
        <w:right w:val="none" w:sz="0" w:space="0" w:color="auto"/>
      </w:divBdr>
    </w:div>
    <w:div w:id="679089710">
      <w:bodyDiv w:val="1"/>
      <w:marLeft w:val="0"/>
      <w:marRight w:val="0"/>
      <w:marTop w:val="0"/>
      <w:marBottom w:val="0"/>
      <w:divBdr>
        <w:top w:val="none" w:sz="0" w:space="0" w:color="auto"/>
        <w:left w:val="none" w:sz="0" w:space="0" w:color="auto"/>
        <w:bottom w:val="none" w:sz="0" w:space="0" w:color="auto"/>
        <w:right w:val="none" w:sz="0" w:space="0" w:color="auto"/>
      </w:divBdr>
    </w:div>
    <w:div w:id="734083362">
      <w:bodyDiv w:val="1"/>
      <w:marLeft w:val="0"/>
      <w:marRight w:val="0"/>
      <w:marTop w:val="0"/>
      <w:marBottom w:val="0"/>
      <w:divBdr>
        <w:top w:val="none" w:sz="0" w:space="0" w:color="auto"/>
        <w:left w:val="none" w:sz="0" w:space="0" w:color="auto"/>
        <w:bottom w:val="none" w:sz="0" w:space="0" w:color="auto"/>
        <w:right w:val="none" w:sz="0" w:space="0" w:color="auto"/>
      </w:divBdr>
    </w:div>
    <w:div w:id="1095981272">
      <w:bodyDiv w:val="1"/>
      <w:marLeft w:val="0"/>
      <w:marRight w:val="0"/>
      <w:marTop w:val="0"/>
      <w:marBottom w:val="0"/>
      <w:divBdr>
        <w:top w:val="none" w:sz="0" w:space="0" w:color="auto"/>
        <w:left w:val="none" w:sz="0" w:space="0" w:color="auto"/>
        <w:bottom w:val="none" w:sz="0" w:space="0" w:color="auto"/>
        <w:right w:val="none" w:sz="0" w:space="0" w:color="auto"/>
      </w:divBdr>
    </w:div>
    <w:div w:id="1254783684">
      <w:bodyDiv w:val="1"/>
      <w:marLeft w:val="0"/>
      <w:marRight w:val="0"/>
      <w:marTop w:val="0"/>
      <w:marBottom w:val="0"/>
      <w:divBdr>
        <w:top w:val="none" w:sz="0" w:space="0" w:color="auto"/>
        <w:left w:val="none" w:sz="0" w:space="0" w:color="auto"/>
        <w:bottom w:val="none" w:sz="0" w:space="0" w:color="auto"/>
        <w:right w:val="none" w:sz="0" w:space="0" w:color="auto"/>
      </w:divBdr>
    </w:div>
    <w:div w:id="150728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0987E932602A489ECA084A1B4EE692" ma:contentTypeVersion="0" ma:contentTypeDescription="Create a new document." ma:contentTypeScope="" ma:versionID="0b9bd39ccce666f0b37ee341ee8e675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64B0A-1CAE-4D09-A794-BF451E2C42F3}">
  <ds:schemaRefs>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BE7857F-D8B7-465F-A09C-99AE0A6E9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28A442-7DEF-4DCE-84AC-E2C2526F85AF}">
  <ds:schemaRefs>
    <ds:schemaRef ds:uri="http://schemas.microsoft.com/sharepoint/v3/contenttype/forms"/>
  </ds:schemaRefs>
</ds:datastoreItem>
</file>

<file path=customXml/itemProps4.xml><?xml version="1.0" encoding="utf-8"?>
<ds:datastoreItem xmlns:ds="http://schemas.openxmlformats.org/officeDocument/2006/customXml" ds:itemID="{84F18965-7B7E-4FAA-A527-FB5216A4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MME Issues</vt:lpstr>
    </vt:vector>
  </TitlesOfParts>
  <Company>Office of Enterprise Technology</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MME Issues</dc:title>
  <dc:creator>Windows User</dc:creator>
  <cp:lastModifiedBy>Chris Cialek</cp:lastModifiedBy>
  <cp:revision>3</cp:revision>
  <cp:lastPrinted>2014-05-19T17:45:00Z</cp:lastPrinted>
  <dcterms:created xsi:type="dcterms:W3CDTF">2014-05-19T17:55:00Z</dcterms:created>
  <dcterms:modified xsi:type="dcterms:W3CDTF">2014-05-19T17:55:00Z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0x010100030987E932602A489ECA084A1B4EE692</vt:lpwstr>
  </property>
</Properties>
</file>