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RULES SPONTAAN</w:t>
      </w:r>
    </w:p>
    <w:p>
      <w:pPr>
        <w:jc w:val="center"/>
      </w:pPr>
      <w:r>
        <w:rPr>
          <w:b/>
          <w:sz w:val="23"/>
        </w:rPr>
        <w:t>Compacte bindende quick reference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A. Altijd toepassen</w:t>
      </w:r>
    </w:p>
    <w:p>
      <w:pPr>
        <w:pStyle w:val="ListBullet"/>
      </w:pPr>
      <w:r>
        <w:t>Geen trial-and-error.</w:t>
      </w:r>
    </w:p>
    <w:p>
      <w:pPr>
        <w:pStyle w:val="ListBullet"/>
      </w:pPr>
      <w:r>
        <w:t>Lees voor uitvoerende stappen documentatie + rules + prompt + relevante chats + repo/runtime opnieuw.</w:t>
      </w:r>
    </w:p>
    <w:p>
      <w:pPr>
        <w:pStyle w:val="ListBullet"/>
      </w:pPr>
      <w:r>
        <w:t>Bewijs vóór wijziging dat de wijziging nog nodig is.</w:t>
      </w:r>
    </w:p>
    <w:p>
      <w:pPr>
        <w:pStyle w:val="ListBullet"/>
      </w:pPr>
      <w:r>
        <w:t>Onderzoek en voorstel gaan vóór write; expliciet akkoord gaat vóór wijziging.</w:t>
      </w:r>
    </w:p>
    <w:p>
      <w:pPr>
        <w:pStyle w:val="ListBullet"/>
      </w:pPr>
      <w:r>
        <w:t>Toon planning, status en voortgang.</w:t>
      </w:r>
    </w:p>
    <w:p>
      <w:pPr>
        <w:pStyle w:val="ListBullet"/>
      </w:pPr>
      <w:r>
        <w:t>Gebruik één volledig PowerShell 5.1-script; geen deelvervangingen.</w:t>
      </w:r>
    </w:p>
    <w:p>
      <w:pPr>
        <w:pStyle w:val="ListBullet"/>
      </w:pPr>
      <w:r>
        <w:t>Production beschermd; geen muterende platformtests zonder expliciete toestemming en veilige omgeving.</w:t>
      </w:r>
    </w:p>
    <w:p>
      <w:pPr>
        <w:pStyle w:val="Heading1"/>
      </w:pPr>
      <w:r>
        <w:t>B. Git- en releasepoorten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Documentatiewrite</w:t>
            </w:r>
          </w:p>
        </w:tc>
        <w:tc>
          <w:tcPr>
            <w:tcW w:type="dxa" w:w="3324"/>
          </w:tcPr>
          <w:p>
            <w:r>
              <w:t>Alleen na inhoudelijk akkoord</w:t>
            </w:r>
          </w:p>
        </w:tc>
        <w:tc>
          <w:tcPr>
            <w:tcW w:type="dxa" w:w="3324"/>
          </w:tcPr>
          <w:p>
            <w:r>
              <w:t>Mag zonder tweede akkoord als de prompt dit voor het noodzakelijke checkpoint toestaat.</w:t>
            </w:r>
          </w:p>
        </w:tc>
      </w:tr>
      <w:tr>
        <w:tc>
          <w:tcPr>
            <w:tcW w:type="dxa" w:w="3324"/>
          </w:tcPr>
          <w:p>
            <w:r>
              <w:t>Productcodewrite</w:t>
            </w:r>
          </w:p>
        </w:tc>
        <w:tc>
          <w:tcPr>
            <w:tcW w:type="dxa" w:w="3324"/>
          </w:tcPr>
          <w:p>
            <w:r>
              <w:t>Apart akkoord</w:t>
            </w:r>
          </w:p>
        </w:tc>
        <w:tc>
          <w:tcPr>
            <w:tcW w:type="dxa" w:w="3324"/>
          </w:tcPr>
          <w:p>
            <w:r>
              <w:t>Niet impliciet toegestaan door documentatie-akkoord.</w:t>
            </w:r>
          </w:p>
        </w:tc>
      </w:tr>
      <w:tr>
        <w:tc>
          <w:tcPr>
            <w:tcW w:type="dxa" w:w="3324"/>
          </w:tcPr>
          <w:p>
            <w:r>
              <w:t>Commit</w:t>
            </w:r>
          </w:p>
        </w:tc>
        <w:tc>
          <w:tcPr>
            <w:tcW w:type="dxa" w:w="3324"/>
          </w:tcPr>
          <w:p>
            <w:r>
              <w:t>Apart akkoord</w:t>
            </w:r>
          </w:p>
        </w:tc>
        <w:tc>
          <w:tcPr>
            <w:tcW w:type="dxa" w:w="3324"/>
          </w:tcPr>
          <w:p>
            <w:r>
              <w:t>Geen automatische commit.</w:t>
            </w:r>
          </w:p>
        </w:tc>
      </w:tr>
      <w:tr>
        <w:tc>
          <w:tcPr>
            <w:tcW w:type="dxa" w:w="3324"/>
          </w:tcPr>
          <w:p>
            <w:r>
              <w:t>Push</w:t>
            </w:r>
          </w:p>
        </w:tc>
        <w:tc>
          <w:tcPr>
            <w:tcW w:type="dxa" w:w="3324"/>
          </w:tcPr>
          <w:p>
            <w:r>
              <w:t>Apart akkoord</w:t>
            </w:r>
          </w:p>
        </w:tc>
        <w:tc>
          <w:tcPr>
            <w:tcW w:type="dxa" w:w="3324"/>
          </w:tcPr>
          <w:p>
            <w:r>
              <w:t>Geen automatische push.</w:t>
            </w:r>
          </w:p>
        </w:tc>
      </w:tr>
      <w:tr>
        <w:tc>
          <w:tcPr>
            <w:tcW w:type="dxa" w:w="3324"/>
          </w:tcPr>
          <w:p>
            <w:r>
              <w:t>Merge</w:t>
            </w:r>
          </w:p>
        </w:tc>
        <w:tc>
          <w:tcPr>
            <w:tcW w:type="dxa" w:w="3324"/>
          </w:tcPr>
          <w:p>
            <w:r>
              <w:t>Apart akkoord</w:t>
            </w:r>
          </w:p>
        </w:tc>
        <w:tc>
          <w:tcPr>
            <w:tcW w:type="dxa" w:w="3324"/>
          </w:tcPr>
          <w:p>
            <w:r>
              <w:t>Vooraf base/head/checks/mergeability hercontroleren.</w:t>
            </w:r>
          </w:p>
        </w:tc>
      </w:tr>
      <w:tr>
        <w:tc>
          <w:tcPr>
            <w:tcW w:type="dxa" w:w="3324"/>
          </w:tcPr>
          <w:p>
            <w:r>
              <w:t>Deployment/platformwrite</w:t>
            </w:r>
          </w:p>
        </w:tc>
        <w:tc>
          <w:tcPr>
            <w:tcW w:type="dxa" w:w="3324"/>
          </w:tcPr>
          <w:p>
            <w:r>
              <w:t>Apart akkoord</w:t>
            </w:r>
          </w:p>
        </w:tc>
        <w:tc>
          <w:tcPr>
            <w:tcW w:type="dxa" w:w="3324"/>
          </w:tcPr>
          <w:p>
            <w:r>
              <w:t>Neveneffecten vooraf expliciet maken.</w:t>
            </w:r>
          </w:p>
        </w:tc>
      </w:tr>
    </w:tbl>
    <w:p>
      <w:pPr>
        <w:pStyle w:val="Heading1"/>
      </w:pPr>
      <w:r>
        <w:t>C. Actuele hervatregel</w:t>
      </w:r>
    </w:p>
    <w:p>
      <w:pPr>
        <w:pStyle w:val="ListBullet"/>
      </w:pPr>
      <w:r>
        <w:t>P2 crop/hotspot blijft geblokkeerd zolang v0.87 niet als werkcheckpoint is gevalideerd.</w:t>
      </w:r>
    </w:p>
    <w:p>
      <w:pPr>
        <w:pStyle w:val="ListBullet"/>
      </w:pPr>
      <w:r>
        <w:t>Na validering: eerst één read-only inventarisatie van de exacte zes build-time query/normalizer/renderer-contexten; daarna één deterministische patch.</w:t>
      </w:r>
    </w:p>
    <w:p>
      <w:pPr>
        <w:pStyle w:val="ListBullet"/>
      </w:pPr>
      <w:r>
        <w:t>Agenda en Nieuws horen pas bij P3 en mogen in P2 niet wijzigen.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