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BB17A0">
      <w:pPr>
        <w:pStyle w:val="TOCHeading"/>
      </w:pPr>
      <w: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005EE2">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005EE2">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005EE2">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005EE2">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005EE2">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BB17A0">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BB17A0">
      <w:pPr>
        <w:pStyle w:val="Heading1"/>
      </w:pPr>
      <w:bookmarkStart w:id="2" w:name="_Toc412728382"/>
      <w:r w:rsidRPr="00BB17A0">
        <w:t>Introduction</w:t>
      </w:r>
      <w:bookmarkEnd w:id="2"/>
    </w:p>
    <w:p w:rsidR="00492D03" w:rsidRDefault="00724B85" w:rsidP="00492D03">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The need for assessment of restoration activities conducted under the Albeni Falls Plan led to development of a monitoring plan for terrestrial ecosystems (AFIWG 2001). Monitoring under this plan was conducted by </w:t>
      </w:r>
      <w:r w:rsidR="00B641DD">
        <w:t>Eastern Washington University (</w:t>
      </w:r>
      <w:r>
        <w:t>EWU</w:t>
      </w:r>
      <w:r w:rsidR="00B641DD">
        <w:t>)</w:t>
      </w:r>
      <w:r>
        <w:t xml:space="preserve"> for the </w:t>
      </w:r>
      <w:proofErr w:type="spellStart"/>
      <w:r>
        <w:t>Kalispel</w:t>
      </w:r>
      <w:proofErr w:type="spellEnd"/>
      <w:r>
        <w:t xml:space="preserve"> Tribe between 2002 and 2006 and then terminated because funding was stopped. A series of discussions amongst the members of the Upper Columbia United Tribes (UCUT), EWU, and BPA resulted in the development of a regional wildlife monitoring and evaluation program to assess ecological change on lands managed by the five </w:t>
      </w:r>
      <w:r w:rsidR="00B641DD">
        <w:t xml:space="preserve">member </w:t>
      </w:r>
      <w:r>
        <w:t xml:space="preserve">Tribes. </w:t>
      </w:r>
      <w:r w:rsidR="00492D03">
        <w:t xml:space="preserve">Monitoring and evaluation are now recognized as essential components in the conduct of ecological restoration for projects and programs in the Columbia Basin by the ISAB </w:t>
      </w:r>
      <w:r w:rsidR="00492D03">
        <w:fldChar w:fldCharType="begin"/>
      </w:r>
      <w:r w:rsidR="00492D03">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rsidR="00492D03">
        <w:fldChar w:fldCharType="separate"/>
      </w:r>
      <w:r w:rsidR="00492D03">
        <w:rPr>
          <w:noProof/>
        </w:rPr>
        <w:t>(</w:t>
      </w:r>
      <w:hyperlink w:anchor="_ENREF_20" w:tooltip="ISAB (Independent Scientific Advisory Board for the Northwest Power and Conservation Council, 2011 #2812" w:history="1">
        <w:r w:rsidR="00492D03">
          <w:rPr>
            <w:noProof/>
          </w:rPr>
          <w:t>2011</w:t>
        </w:r>
      </w:hyperlink>
      <w:r w:rsidR="00492D03">
        <w:rPr>
          <w:noProof/>
        </w:rPr>
        <w:t>)</w:t>
      </w:r>
      <w:r w:rsidR="00492D03">
        <w:fldChar w:fldCharType="end"/>
      </w:r>
      <w:r w:rsidR="00492D03">
        <w:t xml:space="preserve">. This is an important step forward, but requires that monitoring and evaluation be done appropriately </w:t>
      </w:r>
      <w:r w:rsidR="00492D03">
        <w:fldChar w:fldCharType="begin"/>
      </w:r>
      <w:r w:rsidR="00492D03">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rsidR="00492D03">
        <w:fldChar w:fldCharType="separate"/>
      </w:r>
      <w:r w:rsidR="00492D03">
        <w:rPr>
          <w:noProof/>
        </w:rPr>
        <w:t>(</w:t>
      </w:r>
      <w:hyperlink w:anchor="_ENREF_13" w:tooltip="Hallett, 2013 #1205" w:history="1">
        <w:r w:rsidR="00492D03">
          <w:rPr>
            <w:noProof/>
          </w:rPr>
          <w:t>Hallett 2013</w:t>
        </w:r>
      </w:hyperlink>
      <w:r w:rsidR="00492D03">
        <w:rPr>
          <w:noProof/>
        </w:rPr>
        <w:t>)</w:t>
      </w:r>
      <w:r w:rsidR="00492D03">
        <w:fldChar w:fldCharType="end"/>
      </w:r>
      <w:r w:rsidR="00492D03">
        <w:t>.</w:t>
      </w:r>
    </w:p>
    <w:p w:rsidR="003564C6" w:rsidRDefault="00B641DD" w:rsidP="00492D03">
      <w:pPr>
        <w:rPr>
          <w:rFonts w:cs="Times New Roman"/>
        </w:rPr>
      </w:pPr>
      <w:r>
        <w:t>The approach adopted by the UCUT for ecological restoration on mitigation and tribal lands under their management is one of defining a reference condition and assessing the trajectory of degraded lands toward that condition. Once defined, the</w:t>
      </w:r>
      <w:r w:rsidR="00492D03">
        <w:t xml:space="preserve"> reference model describes the desired future condition </w: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 </w:instrTex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EN.CITE.DATA </w:instrText>
      </w:r>
      <w:r w:rsidR="00492D03">
        <w:fldChar w:fldCharType="end"/>
      </w:r>
      <w:r w:rsidR="00492D03">
        <w:fldChar w:fldCharType="separate"/>
      </w:r>
      <w:r w:rsidR="00492D03">
        <w:rPr>
          <w:noProof/>
        </w:rPr>
        <w:t>(</w:t>
      </w:r>
      <w:hyperlink w:anchor="_ENREF_2" w:tooltip="Aronson, 1995 #529" w:history="1">
        <w:r w:rsidR="00492D03">
          <w:rPr>
            <w:noProof/>
          </w:rPr>
          <w:t>Aronson et al. 1995</w:t>
        </w:r>
      </w:hyperlink>
      <w:r w:rsidR="00492D03">
        <w:rPr>
          <w:noProof/>
        </w:rPr>
        <w:t xml:space="preserve">, </w:t>
      </w:r>
      <w:hyperlink w:anchor="_ENREF_5" w:tooltip="Clewell, 2007 #522" w:history="1">
        <w:r w:rsidR="00492D03">
          <w:rPr>
            <w:noProof/>
          </w:rPr>
          <w:t>Clewell and Aronson 2007</w:t>
        </w:r>
      </w:hyperlink>
      <w:r w:rsidR="00492D03">
        <w:rPr>
          <w:noProof/>
        </w:rPr>
        <w:t>)</w:t>
      </w:r>
      <w:r w:rsidR="00492D03">
        <w:fldChar w:fldCharType="end"/>
      </w:r>
      <w:r w:rsidR="00492D03">
        <w:t xml:space="preserve">. </w:t>
      </w:r>
      <w:r w:rsidR="00492D03">
        <w:rPr>
          <w:rFonts w:cs="Times New Roman"/>
        </w:rPr>
        <w:t>The reference ecosystem provides a model for planning, implementing, and evaluating a restoration project</w:t>
      </w:r>
      <w:r w:rsidR="00492D03" w:rsidRPr="001D110C">
        <w:t xml:space="preserve"> </w:t>
      </w:r>
      <w:r w:rsidR="00492D03">
        <w:rPr>
          <w:rFonts w:cs="Times New Roman"/>
        </w:rPr>
        <w:fldChar w:fldCharType="begin"/>
      </w:r>
      <w:r w:rsidR="00492D03">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sidR="00492D03">
        <w:rPr>
          <w:rFonts w:cs="Times New Roman"/>
        </w:rPr>
        <w:fldChar w:fldCharType="separate"/>
      </w:r>
      <w:r w:rsidR="00492D03">
        <w:rPr>
          <w:rFonts w:cs="Times New Roman"/>
          <w:noProof/>
        </w:rPr>
        <w:t>(</w:t>
      </w:r>
      <w:hyperlink w:anchor="_ENREF_27" w:tooltip="Ruiz-Jaen, 2005 #531" w:history="1">
        <w:r w:rsidR="00492D03">
          <w:rPr>
            <w:rFonts w:cs="Times New Roman"/>
            <w:noProof/>
          </w:rPr>
          <w:t>Ruiz-Jaen and Aide 2005</w:t>
        </w:r>
      </w:hyperlink>
      <w:r w:rsidR="00492D03">
        <w:rPr>
          <w:rFonts w:cs="Times New Roman"/>
          <w:noProof/>
        </w:rPr>
        <w:t>)</w:t>
      </w:r>
      <w:r w:rsidR="00492D03">
        <w:rPr>
          <w:rFonts w:cs="Times New Roman"/>
        </w:rPr>
        <w:fldChar w:fldCharType="end"/>
      </w:r>
      <w:r w:rsidR="00492D03">
        <w:rPr>
          <w:rFonts w:cs="Times New Roman"/>
        </w:rPr>
        <w:t>. The reference characterizes the desired physical environment, biological composition and structure, and flows of materials and organisms across the boundaries</w:t>
      </w:r>
      <w:r w:rsidR="00492D03" w:rsidRPr="00105BF2">
        <w:rPr>
          <w:rFonts w:cs="Times New Roman"/>
        </w:rPr>
        <w:t xml:space="preserve"> </w:t>
      </w:r>
      <w:r w:rsidR="00492D03">
        <w:rPr>
          <w:rFonts w:cs="Times New Roman"/>
        </w:rPr>
        <w:t xml:space="preserve">of the ecosystem to be restored. </w:t>
      </w:r>
      <w:r w:rsidR="003564C6">
        <w:rPr>
          <w:rFonts w:cs="Times New Roman"/>
        </w:rPr>
        <w:t xml:space="preserve">For the UCUT Wildlife Monitoring and Assessment Program (UWMEP), we characterized a minimum of three representative areas for each of eight habitat types to determine spatial variation. These areas were resampled for 3 </w:t>
      </w:r>
      <w:proofErr w:type="spellStart"/>
      <w:r w:rsidR="003564C6">
        <w:rPr>
          <w:rFonts w:cs="Times New Roman"/>
        </w:rPr>
        <w:t>yr</w:t>
      </w:r>
      <w:proofErr w:type="spellEnd"/>
      <w:r w:rsidR="003564C6">
        <w:rPr>
          <w:rFonts w:cs="Times New Roman"/>
        </w:rPr>
        <w:t xml:space="preserve"> to </w:t>
      </w:r>
      <w:r w:rsidR="004D25C3">
        <w:rPr>
          <w:rFonts w:cs="Times New Roman"/>
        </w:rPr>
        <w:t xml:space="preserve">assess temporal </w:t>
      </w:r>
      <w:r w:rsidR="004D25C3">
        <w:rPr>
          <w:rFonts w:cs="Times New Roman"/>
        </w:rPr>
        <w:lastRenderedPageBreak/>
        <w:t xml:space="preserve">variation. Our choice of reference model was pragmatic: examine the best examples of representative habitats that were available to us. </w:t>
      </w:r>
    </w:p>
    <w:p w:rsidR="00105861" w:rsidRDefault="00105861" w:rsidP="00492D03">
      <w:r>
        <w:t xml:space="preserve">Objectives of ecological restoration include attainment of </w:t>
      </w:r>
      <w:r w:rsidR="00492D03">
        <w:t xml:space="preserve">one or more ecological attributes </w:t>
      </w:r>
      <w:r w:rsidR="00492D03">
        <w:fldChar w:fldCharType="begin"/>
      </w:r>
      <w:r w:rsidR="00492D03">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rsidR="00492D03">
        <w:fldChar w:fldCharType="separate"/>
      </w:r>
      <w:r w:rsidR="00492D03">
        <w:rPr>
          <w:noProof/>
        </w:rPr>
        <w:t>(</w:t>
      </w:r>
      <w:hyperlink w:anchor="_ENREF_29" w:tooltip="Society for Ecological Restoration International Science &amp; Policy Working Group, 2004 #515" w:history="1">
        <w:r w:rsidR="00492D03">
          <w:rPr>
            <w:noProof/>
          </w:rPr>
          <w:t>Society for Ecological Restoration International Science &amp; Policy Working Group 2004</w:t>
        </w:r>
      </w:hyperlink>
      <w:r w:rsidR="00492D03">
        <w:rPr>
          <w:noProof/>
        </w:rPr>
        <w:t>)</w:t>
      </w:r>
      <w:r w:rsidR="00492D03">
        <w:fldChar w:fldCharType="end"/>
      </w:r>
      <w:r w:rsidR="00492D03">
        <w:t xml:space="preserve">, but </w:t>
      </w:r>
      <w:r>
        <w:t>commonly also address</w:t>
      </w:r>
      <w:r w:rsidR="00492D03">
        <w:t xml:space="preserve"> social and cultural needs </w:t>
      </w:r>
      <w:r w:rsidR="00492D03">
        <w:fldChar w:fldCharType="begin"/>
      </w:r>
      <w:r w:rsidR="00492D03">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rsidR="00492D03">
        <w:fldChar w:fldCharType="separate"/>
      </w:r>
      <w:r w:rsidR="00492D03">
        <w:rPr>
          <w:noProof/>
        </w:rPr>
        <w:t>(</w:t>
      </w:r>
      <w:hyperlink w:anchor="_ENREF_17" w:tooltip="Hallett, 2013 #2807" w:history="1">
        <w:r w:rsidR="00492D03">
          <w:rPr>
            <w:noProof/>
          </w:rPr>
          <w:t>Hallett et al. 2013</w:t>
        </w:r>
      </w:hyperlink>
      <w:r w:rsidR="00492D03">
        <w:rPr>
          <w:noProof/>
        </w:rPr>
        <w:t>)</w:t>
      </w:r>
      <w:r w:rsidR="00492D03">
        <w:fldChar w:fldCharType="end"/>
      </w:r>
      <w:r>
        <w:t xml:space="preserve">. Primary objectives of ecological restoration on damaged Tribal lands include return of native species composition and structure. For this reason, the monitoring program developed in partnership between UCUT and EWU has focused on evaluating </w:t>
      </w:r>
      <w:r w:rsidR="00E13B22">
        <w:t>species</w:t>
      </w:r>
      <w:r>
        <w:t xml:space="preserve"> composition and structure for vegetati</w:t>
      </w:r>
      <w:r w:rsidR="00101DC9">
        <w:t xml:space="preserve">on and terrestrial vertebrates. The monitoring program is open-ended and if appropriate and funding becomes available, other ecosystem components or processes </w:t>
      </w:r>
      <w:r w:rsidR="00583758">
        <w:t>can</w:t>
      </w:r>
      <w:r w:rsidR="00101DC9">
        <w:t xml:space="preserve"> be added. </w:t>
      </w:r>
      <w:r w:rsidR="00583758">
        <w:t xml:space="preserve">UWMEP was developed to determine the effectiveness of management activities in returning damaged or degraded lands toward reference conditions. There </w:t>
      </w:r>
      <w:r w:rsidR="00D66899">
        <w:t>program has</w:t>
      </w:r>
      <w:r w:rsidR="00583758">
        <w:t xml:space="preserve"> a research component because of the need to evaluate our sampling approaches and methods for examining ecological change (</w:t>
      </w:r>
      <w:proofErr w:type="spellStart"/>
      <w:r w:rsidR="00583758" w:rsidRPr="00583758">
        <w:rPr>
          <w:highlight w:val="yellow"/>
        </w:rPr>
        <w:t>Hallett</w:t>
      </w:r>
      <w:proofErr w:type="spellEnd"/>
      <w:r w:rsidR="00583758" w:rsidRPr="00583758">
        <w:rPr>
          <w:highlight w:val="yellow"/>
        </w:rPr>
        <w:t xml:space="preserve"> and O’Connell 2013)</w:t>
      </w:r>
      <w:r w:rsidR="00583758">
        <w:t xml:space="preserve">. </w:t>
      </w:r>
      <w:r w:rsidR="004500F0">
        <w:t xml:space="preserve">A guide to our analytical approaches is being prepared for the next 3-year review in 2016. Because of the geographical </w:t>
      </w:r>
      <w:r w:rsidR="00D66899">
        <w:t>extent</w:t>
      </w:r>
      <w:r w:rsidR="004500F0">
        <w:t xml:space="preserve"> of our monitoring and the expected lifespan of &gt; 25 years, the UWMEP database will be useful for examining status</w:t>
      </w:r>
      <w:r w:rsidR="00D66899">
        <w:t xml:space="preserve"> and trends for some species. </w:t>
      </w:r>
    </w:p>
    <w:p w:rsidR="00583758" w:rsidRDefault="004D7F4D" w:rsidP="00724B85">
      <w:r>
        <w:t xml:space="preserve">Initial work to expand the Albeni Falls monitoring approach to a broader geographic region with </w:t>
      </w:r>
      <w:r w:rsidR="004D25C3">
        <w:t>a greater</w:t>
      </w:r>
      <w:r>
        <w:t xml:space="preserve"> number of habitat type</w:t>
      </w:r>
      <w:r w:rsidR="00E13B22">
        <w:t>s</w:t>
      </w:r>
      <w:r>
        <w:t xml:space="preserve"> was conducted in 2008. Full sampling of new reference site</w:t>
      </w:r>
      <w:r w:rsidR="004D25C3">
        <w:t>s</w:t>
      </w:r>
      <w:r>
        <w:t xml:space="preserve"> </w:t>
      </w:r>
      <w:r w:rsidR="004500F0">
        <w:t xml:space="preserve">for four additional habitat types </w:t>
      </w:r>
      <w:r>
        <w:t xml:space="preserve">began </w:t>
      </w:r>
      <w:r w:rsidR="00724B85">
        <w:t xml:space="preserve">in 2009 and </w:t>
      </w:r>
      <w:r>
        <w:t>sampling of mitigation lands was co</w:t>
      </w:r>
      <w:r w:rsidR="004500F0">
        <w:t>nducted between 2011 and 2014. Because ecological restoration activities are taking place across a broad geographical area</w:t>
      </w:r>
      <w:r w:rsidR="00D66899">
        <w:t xml:space="preserve"> and the sampling window is short</w:t>
      </w:r>
      <w:r w:rsidR="004500F0">
        <w:t xml:space="preserve">, logistics dictated that we develop a 5-6 year sampling </w:t>
      </w:r>
      <w:r w:rsidR="00D66899">
        <w:t xml:space="preserve">regime to include mitigation lands of all five Tribes. </w:t>
      </w:r>
      <w:r w:rsidR="00623EBC">
        <w:t>We will complete our first</w:t>
      </w:r>
      <w:r w:rsidR="00D66899">
        <w:t xml:space="preserve"> full </w:t>
      </w:r>
      <w:r w:rsidR="00623EBC">
        <w:t xml:space="preserve">sampling </w:t>
      </w:r>
      <w:r w:rsidR="00D66899">
        <w:t xml:space="preserve">rotation </w:t>
      </w:r>
      <w:r w:rsidR="00623EBC">
        <w:t>in 2015</w:t>
      </w:r>
      <w:r w:rsidR="00D66899">
        <w:t xml:space="preserve">. </w:t>
      </w:r>
    </w:p>
    <w:p w:rsidR="00724B85" w:rsidRDefault="004D25C3" w:rsidP="00724B85">
      <w:r>
        <w:t xml:space="preserve">In this report, we summarize the monitoring data collected through 2014. Then we consider aspects of the composition of the vegetation that can help guide management activities. </w:t>
      </w:r>
    </w:p>
    <w:p w:rsidR="000B04AC" w:rsidRDefault="00372936" w:rsidP="00BB17A0">
      <w:pPr>
        <w:pStyle w:val="Heading1"/>
      </w:pPr>
      <w:bookmarkStart w:id="3" w:name="_Toc412728383"/>
      <w:r>
        <w:t>Methods</w:t>
      </w:r>
      <w:bookmarkEnd w:id="3"/>
    </w:p>
    <w:p w:rsidR="000B04AC" w:rsidRPr="00372936" w:rsidRDefault="006F5DF3" w:rsidP="00BB17A0">
      <w:pPr>
        <w:pStyle w:val="Heading2"/>
      </w:pPr>
      <w:bookmarkStart w:id="4" w:name="_Toc412728384"/>
      <w:r w:rsidRPr="00372936">
        <w:t>Monitoring locations</w:t>
      </w:r>
      <w:bookmarkEnd w:id="4"/>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w:t>
      </w:r>
      <w:r w:rsidR="007B13D5">
        <w:rPr>
          <w:rFonts w:eastAsia="Times New Roman" w:cs="Times New Roman"/>
          <w:szCs w:val="24"/>
        </w:rPr>
        <w:t>beginning in</w:t>
      </w:r>
      <w:r w:rsidR="00ED6E5A" w:rsidRPr="009F7EBC">
        <w:rPr>
          <w:rFonts w:eastAsia="Times New Roman" w:cs="Times New Roman"/>
          <w:szCs w:val="24"/>
        </w:rPr>
        <w:t xml:space="preserve"> </w:t>
      </w:r>
      <w:r w:rsidR="00ED6E5A" w:rsidRPr="007B13D5">
        <w:rPr>
          <w:rFonts w:eastAsia="Times New Roman" w:cs="Times New Roman"/>
          <w:szCs w:val="24"/>
        </w:rPr>
        <w:t>2004</w:t>
      </w:r>
      <w:r w:rsidR="00ED6E5A" w:rsidRPr="007C3786">
        <w:rPr>
          <w:rFonts w:eastAsia="Times New Roman" w:cs="Times New Roman"/>
          <w:szCs w:val="24"/>
        </w:rPr>
        <w:t xml:space="preserve">. </w:t>
      </w:r>
      <w:r w:rsidR="00E13B22">
        <w:rPr>
          <w:rFonts w:eastAsia="Times New Roman" w:cs="Times New Roman"/>
          <w:szCs w:val="24"/>
        </w:rPr>
        <w:t xml:space="preserve">Although the minimum distance between sampling points was retained for all ownerships, we used some </w:t>
      </w:r>
      <w:r w:rsidR="00DB7165">
        <w:rPr>
          <w:rFonts w:eastAsia="Times New Roman" w:cs="Times New Roman"/>
          <w:szCs w:val="24"/>
        </w:rPr>
        <w:t xml:space="preserve">logistics criteria (e.g., distance to nearest road) to increase the number of sites that could be sampled. </w:t>
      </w:r>
    </w:p>
    <w:p w:rsidR="00951E7D" w:rsidRDefault="000743B9" w:rsidP="00D1769F">
      <w:pPr>
        <w:spacing w:after="0"/>
        <w:rPr>
          <w:rFonts w:eastAsia="Times New Roman" w:cs="Times New Roman"/>
          <w:szCs w:val="24"/>
        </w:rPr>
      </w:pPr>
      <w:r>
        <w:rPr>
          <w:rFonts w:eastAsia="Times New Roman" w:cs="Times New Roman"/>
          <w:szCs w:val="24"/>
        </w:rPr>
        <w:lastRenderedPageBreak/>
        <w:t xml:space="preserve">A total of 25 reference sites have been established (Table 1). Completion of sampling on grassland-steppe is scheduled for 2015. </w:t>
      </w:r>
    </w:p>
    <w:p w:rsidR="005C442F" w:rsidRDefault="005C442F" w:rsidP="00D1769F">
      <w:pPr>
        <w:spacing w:after="0"/>
        <w:rPr>
          <w:rFonts w:eastAsia="Times New Roman" w:cs="Times New Roman"/>
          <w:szCs w:val="24"/>
        </w:rPr>
      </w:pPr>
      <w:bookmarkStart w:id="5" w:name="Fig1"/>
      <w:bookmarkEnd w:id="5"/>
    </w:p>
    <w:p w:rsidR="005C442F" w:rsidRDefault="005C442F" w:rsidP="00D1769F">
      <w:pPr>
        <w:spacing w:after="0"/>
        <w:rPr>
          <w:rFonts w:eastAsia="Times New Roman" w:cs="Times New Roman"/>
          <w:szCs w:val="24"/>
        </w:rPr>
      </w:pPr>
    </w:p>
    <w:p w:rsidR="007C3786" w:rsidRDefault="008029DF" w:rsidP="00D1769F">
      <w:pPr>
        <w:spacing w:after="0"/>
        <w:rPr>
          <w:rFonts w:eastAsia="Times New Roman" w:cs="Times New Roman"/>
          <w:szCs w:val="24"/>
        </w:rPr>
      </w:pPr>
      <w:r>
        <w:rPr>
          <w:rFonts w:eastAsia="Times New Roman" w:cs="Times New Roman"/>
          <w:szCs w:val="24"/>
        </w:rPr>
        <w:t>Figure</w:t>
      </w:r>
      <w:r w:rsidR="00370178">
        <w:rPr>
          <w:rFonts w:eastAsia="Times New Roman" w:cs="Times New Roman"/>
          <w:szCs w:val="24"/>
        </w:rPr>
        <w:t xml:space="preserve"> 1. Locations of reference and permanent points on lands managed by the five Upper Columbia United Tribes. Reference sites were located on</w:t>
      </w:r>
      <w:r w:rsidR="00FE2B80">
        <w:rPr>
          <w:rFonts w:eastAsia="Times New Roman" w:cs="Times New Roman"/>
          <w:szCs w:val="24"/>
        </w:rPr>
        <w:t xml:space="preserve"> lands managed by</w:t>
      </w:r>
      <w:r w:rsidR="00370178">
        <w:rPr>
          <w:rFonts w:eastAsia="Times New Roman" w:cs="Times New Roman"/>
          <w:szCs w:val="24"/>
        </w:rPr>
        <w:t xml:space="preserve"> BLM and Turnbull NWR. </w:t>
      </w:r>
    </w:p>
    <w:p w:rsidR="00FE2B80" w:rsidRDefault="00FE2B80" w:rsidP="00D1769F">
      <w:pPr>
        <w:spacing w:after="0"/>
        <w:rPr>
          <w:rFonts w:eastAsia="Times New Roman" w:cs="Times New Roman"/>
          <w:szCs w:val="24"/>
        </w:rPr>
      </w:pPr>
    </w:p>
    <w:p w:rsidR="0072528C" w:rsidRDefault="0072528C" w:rsidP="00D1769F">
      <w:pPr>
        <w:spacing w:after="0"/>
        <w:rPr>
          <w:rFonts w:eastAsia="Times New Roman" w:cs="Times New Roman"/>
          <w:szCs w:val="24"/>
        </w:rPr>
      </w:pPr>
      <w:bookmarkStart w:id="6" w:name="Fig2"/>
      <w:bookmarkEnd w:id="6"/>
    </w:p>
    <w:p w:rsidR="00FE2B80" w:rsidRPr="00370178" w:rsidRDefault="00FE2B80" w:rsidP="00D1769F">
      <w:pPr>
        <w:spacing w:after="0"/>
        <w:rPr>
          <w:rFonts w:eastAsia="Times New Roman" w:cs="Times New Roman"/>
          <w:szCs w:val="24"/>
        </w:rPr>
      </w:pPr>
      <w:r>
        <w:rPr>
          <w:rFonts w:eastAsia="Times New Roman" w:cs="Times New Roman"/>
          <w:szCs w:val="24"/>
        </w:rPr>
        <w:t>Fig</w:t>
      </w:r>
      <w:r w:rsidR="008029DF">
        <w:rPr>
          <w:rFonts w:eastAsia="Times New Roman" w:cs="Times New Roman"/>
          <w:szCs w:val="24"/>
        </w:rPr>
        <w:t>ure</w:t>
      </w:r>
      <w:r>
        <w:rPr>
          <w:rFonts w:eastAsia="Times New Roman" w:cs="Times New Roman"/>
          <w:szCs w:val="24"/>
        </w:rPr>
        <w:t xml:space="preserve"> 2. Locations of permanent points sampled </w:t>
      </w:r>
      <w:r w:rsidR="00FB7210">
        <w:rPr>
          <w:rFonts w:eastAsia="Times New Roman" w:cs="Times New Roman"/>
          <w:szCs w:val="24"/>
        </w:rPr>
        <w:t xml:space="preserve">in 2014 on lands managed by the </w:t>
      </w:r>
      <w:proofErr w:type="spellStart"/>
      <w:r w:rsidR="00FB7210">
        <w:rPr>
          <w:rFonts w:eastAsia="Times New Roman" w:cs="Times New Roman"/>
          <w:szCs w:val="24"/>
        </w:rPr>
        <w:t>Kalispel</w:t>
      </w:r>
      <w:proofErr w:type="spellEnd"/>
      <w:r w:rsidR="00FB7210">
        <w:rPr>
          <w:rFonts w:eastAsia="Times New Roman" w:cs="Times New Roman"/>
          <w:szCs w:val="24"/>
        </w:rPr>
        <w:t xml:space="preserve"> Tribe. New sampling sites were located at Indian Creek (WA) and Big Meadows (ID). </w:t>
      </w:r>
      <w:r>
        <w:rPr>
          <w:rFonts w:eastAsia="Times New Roman" w:cs="Times New Roman"/>
          <w:szCs w:val="24"/>
        </w:rPr>
        <w:t xml:space="preserve"> </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7" w:name="Table1"/>
      <w:r>
        <w:rPr>
          <w:rFonts w:eastAsia="Times New Roman" w:cs="Times New Roman"/>
          <w:szCs w:val="24"/>
        </w:rPr>
        <w:t xml:space="preserve">Table 1. Reference sites sampled for eight habitat types. None of these sites were sampled in 2014. </w:t>
      </w:r>
    </w:p>
    <w:bookmarkEnd w:id="7"/>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8"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8"/>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BB17A0">
      <w:pPr>
        <w:pStyle w:val="Heading2"/>
      </w:pPr>
      <w:bookmarkStart w:id="9" w:name="_Toc412728385"/>
      <w:r w:rsidRPr="005D0D2C">
        <w:t xml:space="preserve">Vegetation </w:t>
      </w:r>
      <w:r w:rsidRPr="00BB17A0">
        <w:t>sampling</w:t>
      </w:r>
      <w:bookmarkEnd w:id="9"/>
    </w:p>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 xml:space="preserve">Our methods for vegetation sampling have not yet been published at MonitoringMethods.org, but should be available there </w:t>
      </w:r>
      <w:r w:rsidR="00724B85">
        <w:rPr>
          <w:rFonts w:eastAsia="Times New Roman" w:cs="Times New Roman"/>
          <w:szCs w:val="20"/>
        </w:rPr>
        <w:t>later in</w:t>
      </w:r>
      <w:r w:rsidR="00B36420">
        <w:rPr>
          <w:rFonts w:eastAsia="Times New Roman" w:cs="Times New Roman"/>
          <w:szCs w:val="20"/>
        </w:rPr>
        <w:t xml:space="preserve">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BB17A0">
        <w:rPr>
          <w:rFonts w:eastAsia="Times New Roman" w:cs="Times New Roman"/>
          <w:szCs w:val="20"/>
        </w:rPr>
        <w:t xml:space="preserve"> </w:t>
      </w:r>
      <w:r w:rsidR="00BB17A0">
        <w:rPr>
          <w:rFonts w:eastAsia="Times New Roman" w:cs="Times New Roman"/>
          <w:szCs w:val="20"/>
        </w:rPr>
        <w:lastRenderedPageBreak/>
        <w:t>recorded. Plants were identified to species and their status as native, nonnative, and invasive were determined from the USDA database (</w:t>
      </w:r>
      <w:hyperlink r:id="rId8" w:history="1">
        <w:r w:rsidR="00BB17A0">
          <w:rPr>
            <w:rStyle w:val="Hyperlink"/>
            <w:rFonts w:eastAsia="Times New Roman" w:cs="Times New Roman"/>
            <w:iCs/>
            <w:szCs w:val="20"/>
          </w:rPr>
          <w:t>plants.usda.gov</w:t>
        </w:r>
      </w:hyperlink>
      <w:r w:rsidR="00BB17A0" w:rsidRPr="00BB17A0">
        <w:rPr>
          <w:rFonts w:eastAsia="Times New Roman" w:cs="Times New Roman"/>
          <w:iCs/>
          <w:szCs w:val="20"/>
        </w:rPr>
        <w:t>)</w:t>
      </w:r>
      <w:r w:rsidR="00BB17A0">
        <w:rPr>
          <w:rFonts w:eastAsia="Times New Roman" w:cs="Times New Roman"/>
          <w:iCs/>
          <w:szCs w:val="20"/>
        </w:rPr>
        <w:t xml:space="preserve">.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B17A0">
      <w:pPr>
        <w:pStyle w:val="Heading2"/>
      </w:pPr>
      <w:bookmarkStart w:id="10" w:name="_Toc412728386"/>
      <w:r>
        <w:t>Vertebrate sampling</w:t>
      </w:r>
      <w:bookmarkEnd w:id="10"/>
    </w:p>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C442F" w:rsidRDefault="005C442F" w:rsidP="005C442F">
      <w:pPr>
        <w:pStyle w:val="Heading2"/>
      </w:pPr>
      <w:r>
        <w:t>Data analysis</w:t>
      </w:r>
    </w:p>
    <w:p w:rsidR="00055F57" w:rsidRDefault="00055F57" w:rsidP="00512E8A">
      <w:r>
        <w:t>Data summaries are available online and include metrics including species diversity and species richness (</w:t>
      </w:r>
      <w:r w:rsidRPr="00055F57">
        <w:rPr>
          <w:highlight w:val="yellow"/>
        </w:rPr>
        <w:t>Appendix</w:t>
      </w:r>
      <w:r>
        <w:t>). In 2014, we began replacing SQL queries with R code (</w:t>
      </w:r>
      <w:r w:rsidRPr="00055F57">
        <w:rPr>
          <w:highlight w:val="yellow"/>
        </w:rPr>
        <w:t>citation</w:t>
      </w:r>
      <w:r>
        <w:t>). We plan to implement additional analytical tools over the next 1-2 years to increase utility for managers.</w:t>
      </w:r>
      <w:r w:rsidR="00832DD3">
        <w:t xml:space="preserve"> In this report, we used R to summarize sampling effort across years. </w:t>
      </w:r>
    </w:p>
    <w:p w:rsidR="00832DD3" w:rsidRDefault="00832DD3" w:rsidP="00832DD3">
      <w:r>
        <w:t>To better understand plant community composition, w</w:t>
      </w:r>
      <w:r w:rsidR="005C442F">
        <w:t xml:space="preserve">e examined data from 2002-2006 and 2009-2013 for plant species identified </w:t>
      </w:r>
      <w:r>
        <w:t>during</w:t>
      </w:r>
      <w:r w:rsidR="005C442F">
        <w:t xml:space="preserve"> cover </w:t>
      </w:r>
      <w:r>
        <w:t>sampling</w:t>
      </w:r>
      <w:r w:rsidR="005C442F">
        <w:t xml:space="preserve"> on 68 permanent (mitigation) sites and 2</w:t>
      </w:r>
      <w:r>
        <w:t>5</w:t>
      </w:r>
      <w:r w:rsidR="005C442F">
        <w:t xml:space="preserve"> reference sites. Because we were interested in general patterns of species composition, we included all sampling locations to look at the presence of nonnative species</w:t>
      </w:r>
      <w:r>
        <w:t>. We constructed frequency plots to examine the prevalence of non-native species and the proportion of noxious species. Using R (Version 3), we calculated a dissimilarity matrix using Chao-</w:t>
      </w:r>
      <w:proofErr w:type="spellStart"/>
      <w:r>
        <w:t>Jaccard</w:t>
      </w:r>
      <w:proofErr w:type="spellEnd"/>
      <w:r>
        <w:t xml:space="preserve"> values (Chao et al. 2005) based on the relative abundance of each plant species at each site. Non-metric multidimensional scaling (NMDS) was used to examine relationships among sampling sites with this matrix. We used a permutation test to perform an analysis of variance on the partitioned dissimilarity matrix (</w:t>
      </w:r>
      <w:proofErr w:type="spellStart"/>
      <w:r>
        <w:t>adonis</w:t>
      </w:r>
      <w:proofErr w:type="spellEnd"/>
      <w:r>
        <w:t xml:space="preserve"> in the vegan package for R).</w:t>
      </w:r>
    </w:p>
    <w:p w:rsidR="005C442F" w:rsidRDefault="005C442F" w:rsidP="00512E8A"/>
    <w:p w:rsidR="005C442F" w:rsidRDefault="005C442F" w:rsidP="00512E8A"/>
    <w:p w:rsidR="005C442F" w:rsidRDefault="005C442F" w:rsidP="00512E8A"/>
    <w:p w:rsidR="00512E8A" w:rsidRPr="00AF256F" w:rsidRDefault="00512E8A" w:rsidP="00BB17A0">
      <w:pPr>
        <w:pStyle w:val="Heading1"/>
      </w:pPr>
      <w:bookmarkStart w:id="11" w:name="_Toc400107064"/>
      <w:bookmarkStart w:id="12" w:name="_Toc412728387"/>
      <w:r w:rsidRPr="00AF256F">
        <w:lastRenderedPageBreak/>
        <w:t>Results</w:t>
      </w:r>
      <w:bookmarkEnd w:id="11"/>
      <w:bookmarkEnd w:id="12"/>
    </w:p>
    <w:p w:rsidR="008029DF" w:rsidRDefault="008029DF" w:rsidP="008029DF">
      <w:pPr>
        <w:pStyle w:val="Heading2"/>
      </w:pPr>
      <w:r>
        <w:t>Sampling effort</w:t>
      </w:r>
    </w:p>
    <w:p w:rsidR="00047BBC" w:rsidRDefault="007945F5" w:rsidP="00047BBC">
      <w:r>
        <w:t xml:space="preserve">The first full rotation for sampling of mitigation sites will be completed in 2015. </w:t>
      </w:r>
    </w:p>
    <w:p w:rsidR="007945F5" w:rsidRDefault="007945F5" w:rsidP="00047BBC"/>
    <w:p w:rsidR="007945F5" w:rsidRDefault="007945F5" w:rsidP="00047BBC"/>
    <w:p w:rsidR="007945F5" w:rsidRDefault="007945F5" w:rsidP="00047BBC"/>
    <w:p w:rsidR="007945F5" w:rsidRDefault="007945F5" w:rsidP="007945F5">
      <w:bookmarkStart w:id="13" w:name="Mammals"/>
      <w:bookmarkStart w:id="14" w:name="Table3"/>
      <w:bookmarkStart w:id="15" w:name="_GoBack"/>
      <w:r>
        <w:t xml:space="preserve">Table 3. Number of records obtained and number of species identified for each species group </w:t>
      </w:r>
      <w:r>
        <w:t>through</w:t>
      </w:r>
      <w:r>
        <w:t xml:space="preserve"> 2014. </w:t>
      </w:r>
    </w:p>
    <w:bookmarkEnd w:id="13"/>
    <w:bookmarkEnd w:id="14"/>
    <w:bookmarkEnd w:id="15"/>
    <w:p w:rsidR="007945F5" w:rsidRDefault="007945F5"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1249CA" w:rsidRDefault="00F77BA4" w:rsidP="001249CA">
      <w:pPr>
        <w:rPr>
          <w:color w:val="FF0000"/>
        </w:rPr>
      </w:pPr>
      <w:r w:rsidRPr="00F77BA4">
        <w:rPr>
          <w:color w:val="FF0000"/>
        </w:rPr>
        <w:t>Add Table 2</w:t>
      </w:r>
    </w:p>
    <w:p w:rsidR="008029DF" w:rsidRDefault="008029DF" w:rsidP="001249CA">
      <w:pPr>
        <w:rPr>
          <w:color w:val="FF0000"/>
        </w:rPr>
      </w:pPr>
    </w:p>
    <w:p w:rsidR="008029DF" w:rsidRDefault="008029DF" w:rsidP="008029DF">
      <w:pPr>
        <w:pStyle w:val="Heading2"/>
      </w:pPr>
      <w:r>
        <w:t>Plant species composition</w:t>
      </w:r>
    </w:p>
    <w:p w:rsidR="008029DF" w:rsidRDefault="008029DF" w:rsidP="008029DF">
      <w:r>
        <w:t xml:space="preserve">We observed a total of 313 species from 53 plant families (n = 15,993 individual observations). Over 50% of all species were in eight families listed in decreasing order of abundance: </w:t>
      </w:r>
      <w:proofErr w:type="spellStart"/>
      <w:r>
        <w:t>Poaceae</w:t>
      </w:r>
      <w:proofErr w:type="spellEnd"/>
      <w:r>
        <w:t xml:space="preserve">, </w:t>
      </w:r>
      <w:proofErr w:type="spellStart"/>
      <w:r>
        <w:t>Asteraceae</w:t>
      </w:r>
      <w:proofErr w:type="spellEnd"/>
      <w:r>
        <w:t xml:space="preserve">, </w:t>
      </w:r>
      <w:proofErr w:type="spellStart"/>
      <w:r>
        <w:t>Cyperaceae</w:t>
      </w:r>
      <w:proofErr w:type="spellEnd"/>
      <w:r>
        <w:t xml:space="preserve">, </w:t>
      </w:r>
      <w:proofErr w:type="spellStart"/>
      <w:r>
        <w:t>Fabaceae</w:t>
      </w:r>
      <w:proofErr w:type="spellEnd"/>
      <w:r>
        <w:t xml:space="preserve">, Plantaginaceae, </w:t>
      </w:r>
      <w:proofErr w:type="spellStart"/>
      <w:r>
        <w:t>Ranunculaceae</w:t>
      </w:r>
      <w:proofErr w:type="spellEnd"/>
      <w:r>
        <w:t xml:space="preserve">, </w:t>
      </w:r>
      <w:proofErr w:type="spellStart"/>
      <w:r>
        <w:t>Polygonaceae</w:t>
      </w:r>
      <w:proofErr w:type="spellEnd"/>
      <w:r>
        <w:t xml:space="preserve">, and </w:t>
      </w:r>
      <w:proofErr w:type="spellStart"/>
      <w:r>
        <w:t>Rosaceae</w:t>
      </w:r>
      <w:proofErr w:type="spellEnd"/>
      <w:r>
        <w:t>. Nonnative plants were represented by 85 species in 23 families with 5 families represented only by nonnative taxa (Fig. 3). Eighteen species in 7 families were classified as invasive.</w:t>
      </w:r>
    </w:p>
    <w:p w:rsidR="008029DF" w:rsidRPr="008029DF" w:rsidRDefault="008029DF" w:rsidP="008029DF">
      <w:bookmarkStart w:id="16" w:name="Fig3"/>
      <w:bookmarkEnd w:id="16"/>
    </w:p>
    <w:p w:rsidR="008029DF" w:rsidRDefault="008029DF" w:rsidP="008029DF">
      <w:pPr>
        <w:rPr>
          <w:rFonts w:cs="Times New Roman"/>
          <w:szCs w:val="24"/>
        </w:rPr>
      </w:pPr>
      <w:r w:rsidRPr="003E6B43">
        <w:rPr>
          <w:rFonts w:cs="Times New Roman"/>
          <w:szCs w:val="24"/>
        </w:rPr>
        <w:t>Figure 3. Numbers of nonnative and invasive species in each family.</w:t>
      </w:r>
    </w:p>
    <w:p w:rsidR="008029DF" w:rsidRDefault="008029DF" w:rsidP="008029DF">
      <w:r w:rsidRPr="003E6B43">
        <w:t>The incidence of nonnative plants in the species pool varied from 0 to 100% across all sampling units. The only sites without any nonnative plants were emergent wetlands dominated by cattails (</w:t>
      </w:r>
      <w:proofErr w:type="spellStart"/>
      <w:r w:rsidRPr="008029DF">
        <w:rPr>
          <w:i/>
        </w:rPr>
        <w:t>Typha</w:t>
      </w:r>
      <w:proofErr w:type="spellEnd"/>
      <w:r w:rsidRPr="008029DF">
        <w:rPr>
          <w:i/>
        </w:rPr>
        <w:t xml:space="preserve"> </w:t>
      </w:r>
      <w:proofErr w:type="spellStart"/>
      <w:r w:rsidRPr="008029DF">
        <w:rPr>
          <w:i/>
        </w:rPr>
        <w:t>latifolia</w:t>
      </w:r>
      <w:proofErr w:type="spellEnd"/>
      <w:r w:rsidRPr="003E6B43">
        <w:t>). Nonnative plant species comprised &gt;25% of flora for most sites (Fig. 4). Over 50% of sites (n = 47) had &gt;50% nonnative species. The proportion of nonnative species varied with habitat and geographical location (Fig. 5).</w:t>
      </w:r>
    </w:p>
    <w:p w:rsidR="008029DF" w:rsidRDefault="008029DF" w:rsidP="008029DF">
      <w:bookmarkStart w:id="17" w:name="Fig4"/>
      <w:bookmarkEnd w:id="17"/>
    </w:p>
    <w:p w:rsidR="008029DF" w:rsidRPr="003E6B43" w:rsidRDefault="008029DF" w:rsidP="008029DF">
      <w:pPr>
        <w:rPr>
          <w:rFonts w:cs="Times New Roman"/>
          <w:szCs w:val="24"/>
        </w:rPr>
      </w:pPr>
      <w:r w:rsidRPr="003E6B43">
        <w:rPr>
          <w:rFonts w:cs="Times New Roman"/>
          <w:szCs w:val="24"/>
        </w:rPr>
        <w:t>Figure 4. Distribution of sites relative to the contribution of nonnative plant species to the species pool.</w:t>
      </w:r>
    </w:p>
    <w:p w:rsidR="008029DF" w:rsidRDefault="008029DF" w:rsidP="008029DF">
      <w:bookmarkStart w:id="18" w:name="Fig5"/>
      <w:bookmarkEnd w:id="18"/>
    </w:p>
    <w:p w:rsidR="008029DF" w:rsidRDefault="008029DF" w:rsidP="008029DF">
      <w:r w:rsidRPr="00173F74">
        <w:t>Figure 5. Proportions of native and nonnative species for each habitat type and ownership.</w:t>
      </w:r>
    </w:p>
    <w:p w:rsidR="008029DF" w:rsidRPr="003E6B43" w:rsidRDefault="008029DF" w:rsidP="008029DF">
      <w:pPr>
        <w:rPr>
          <w:rFonts w:cs="Times New Roman"/>
          <w:szCs w:val="24"/>
        </w:rPr>
      </w:pPr>
    </w:p>
    <w:p w:rsidR="008029DF" w:rsidRDefault="008029DF" w:rsidP="001249CA">
      <w:pPr>
        <w:rPr>
          <w:color w:val="FF0000"/>
        </w:rPr>
      </w:pPr>
    </w:p>
    <w:p w:rsidR="008029DF" w:rsidRDefault="008029DF" w:rsidP="001249CA">
      <w:pPr>
        <w:rPr>
          <w:color w:val="FF0000"/>
        </w:rPr>
      </w:pPr>
    </w:p>
    <w:p w:rsidR="00512E8A" w:rsidRPr="00AF256F" w:rsidRDefault="00512E8A" w:rsidP="00BB17A0">
      <w:pPr>
        <w:pStyle w:val="Heading1"/>
      </w:pPr>
      <w:bookmarkStart w:id="19" w:name="_Toc400107065"/>
      <w:bookmarkStart w:id="20" w:name="_Toc412728388"/>
      <w:r w:rsidRPr="00AF256F">
        <w:t>Discussion/Conclusion</w:t>
      </w:r>
      <w:bookmarkEnd w:id="19"/>
      <w:bookmarkEnd w:id="20"/>
    </w:p>
    <w:p w:rsidR="00492D03" w:rsidRDefault="00492D03" w:rsidP="00492D03">
      <w:r>
        <w:t>Nonnative plants were observed on almost all reference and mitigation sites and for all habitat types. Very few sites had a species composition with &lt;20% nonnative species and most had &gt;50% (</w:t>
      </w:r>
      <w:r w:rsidRPr="00492D03">
        <w:rPr>
          <w:highlight w:val="yellow"/>
        </w:rPr>
        <w:t>Fig. 4</w:t>
      </w:r>
      <w:r>
        <w:t xml:space="preserve">). Although infrequent in our dataset, some sites were entirely dominated by nonnative species such as </w:t>
      </w:r>
      <w:proofErr w:type="spellStart"/>
      <w:r w:rsidRPr="00492D03">
        <w:rPr>
          <w:i/>
        </w:rPr>
        <w:t>Phalaris</w:t>
      </w:r>
      <w:proofErr w:type="spellEnd"/>
      <w:r w:rsidRPr="00492D03">
        <w:rPr>
          <w:i/>
        </w:rPr>
        <w:t xml:space="preserve"> </w:t>
      </w:r>
      <w:proofErr w:type="spellStart"/>
      <w:r w:rsidRPr="00492D03">
        <w:rPr>
          <w:i/>
        </w:rPr>
        <w:t>arundinacea</w:t>
      </w:r>
      <w:proofErr w:type="spellEnd"/>
      <w:r>
        <w:t xml:space="preserve"> (reed </w:t>
      </w:r>
      <w:proofErr w:type="spellStart"/>
      <w:r>
        <w:t>canarygrass</w:t>
      </w:r>
      <w:proofErr w:type="spellEnd"/>
      <w:r>
        <w:t xml:space="preserve">). We did not anticipate such high proportions of nonnative species in the flora, and they reflect high levels of disturbance and degradation of many landscapes. Although there are many causes of degradation, intense grazing, overharvesting, and abandonment of agricultural fields were the dominant forces for most sites in our study. </w:t>
      </w:r>
    </w:p>
    <w:p w:rsidR="00492D03" w:rsidRDefault="00492D03" w:rsidP="00492D03">
      <w:r>
        <w:t>Land degradation has significant consequences in terms of (1) loss of biodiversity; (2) reduction or loss of ecosystem services necessary for human health, food and water security, and culture; and (3) the strong relationship between poverty and degree of land degradation (</w:t>
      </w:r>
      <w:proofErr w:type="spellStart"/>
      <w:r>
        <w:t>Wortley</w:t>
      </w:r>
      <w:proofErr w:type="spellEnd"/>
      <w:r>
        <w:t xml:space="preserve"> et al. 2013). Our comparisons of mitigation sites undergoing ecological restoration with reference sites suggests that our strategies for restoration may have to be tailored to particular sites to a greater extent than currently practiced. The typically high variation in plant composition on mitigation sites means that the trajectories of these sites toward the reference condition are likely to differ. Because  no single prescription for ecological restoration is likely to be successful at all locations for a given habitat, we believe that it is essential to monitor the changes following restoration activities to determine how the initial conditions (i.e., plant composition) determine the outcome. In some cases, small scale experiments might be preferred prior to initiating restoration. </w:t>
      </w:r>
    </w:p>
    <w:p w:rsidR="00492D03" w:rsidRDefault="00492D03" w:rsidP="00512E8A">
      <w:pPr>
        <w:spacing w:line="360" w:lineRule="auto"/>
      </w:pPr>
    </w:p>
    <w:p w:rsidR="00492D03" w:rsidRDefault="00492D03" w:rsidP="00512E8A">
      <w:pPr>
        <w:spacing w:line="360" w:lineRule="auto"/>
      </w:pPr>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w:t>
      </w:r>
      <w:r w:rsidRPr="00AF256F">
        <w:lastRenderedPageBreak/>
        <w:t xml:space="preserve">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BB17A0">
      <w:pPr>
        <w:pStyle w:val="Heading1"/>
      </w:pPr>
      <w:bookmarkStart w:id="21" w:name="_Toc400107066"/>
      <w:bookmarkStart w:id="22" w:name="_Toc412728389"/>
      <w:r w:rsidRPr="00AF256F">
        <w:t>Adaptive Management &amp; Lessons Learned</w:t>
      </w:r>
      <w:bookmarkEnd w:id="21"/>
      <w:bookmarkEnd w:id="22"/>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9"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BB17A0">
      <w:pPr>
        <w:pStyle w:val="Heading1"/>
      </w:pPr>
      <w:bookmarkStart w:id="23" w:name="_Toc412728390"/>
      <w:r w:rsidRPr="00F97AAF">
        <w:t>Acknowledg</w:t>
      </w:r>
      <w:r w:rsidR="000B2913">
        <w:t>e</w:t>
      </w:r>
      <w:r w:rsidRPr="00F97AAF">
        <w:t>ments</w:t>
      </w:r>
      <w:bookmarkEnd w:id="23"/>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BB17A0">
      <w:pPr>
        <w:pStyle w:val="Heading1"/>
      </w:pPr>
      <w:bookmarkStart w:id="24" w:name="_Toc412728391"/>
      <w:r>
        <w:t>References</w:t>
      </w:r>
      <w:bookmarkEnd w:id="24"/>
    </w:p>
    <w:p w:rsidR="00492D03" w:rsidRPr="00512E8A" w:rsidRDefault="00492D03" w:rsidP="00492D03">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5" w:name="_ENREF_1"/>
      <w:r w:rsidR="00FC75F5" w:rsidRPr="00FC75F5">
        <w:rPr>
          <w:rFonts w:cs="Times New Roman"/>
          <w:noProof/>
        </w:rPr>
        <w:t>Hallett, J. G. and M. A. O'Connell. 2013a. Amphibian Surveys Using Minnow Traps. Monitoring Methods 1296.</w:t>
      </w:r>
      <w:bookmarkEnd w:id="25"/>
    </w:p>
    <w:p w:rsidR="00FC75F5" w:rsidRPr="00FC75F5" w:rsidRDefault="00FC75F5" w:rsidP="00FC75F5">
      <w:pPr>
        <w:spacing w:after="0"/>
        <w:ind w:left="720" w:hanging="720"/>
        <w:rPr>
          <w:rFonts w:cs="Times New Roman"/>
          <w:noProof/>
        </w:rPr>
      </w:pPr>
      <w:bookmarkStart w:id="26" w:name="_ENREF_2"/>
      <w:r w:rsidRPr="00FC75F5">
        <w:rPr>
          <w:rFonts w:cs="Times New Roman"/>
          <w:noProof/>
        </w:rPr>
        <w:t>Hallett, J. G. and M. A. O'Connell. 2013b. Breeding Bird Surveys Using Point Counts. Monitoring Methods 1295.</w:t>
      </w:r>
      <w:bookmarkEnd w:id="26"/>
    </w:p>
    <w:p w:rsidR="00FC75F5" w:rsidRPr="00FC75F5" w:rsidRDefault="00FC75F5" w:rsidP="00FC75F5">
      <w:pPr>
        <w:spacing w:after="0"/>
        <w:ind w:left="720" w:hanging="720"/>
        <w:rPr>
          <w:rFonts w:cs="Times New Roman"/>
          <w:noProof/>
        </w:rPr>
      </w:pPr>
      <w:bookmarkStart w:id="27" w:name="_ENREF_3"/>
      <w:r w:rsidRPr="00FC75F5">
        <w:rPr>
          <w:rFonts w:cs="Times New Roman"/>
          <w:noProof/>
        </w:rPr>
        <w:lastRenderedPageBreak/>
        <w:t>Hallett, J. G. and M. A. O'Connell. 2013c. Small Mammal Surveys Using Removal Trapping. Monitoring Methods 1293.</w:t>
      </w:r>
      <w:bookmarkEnd w:id="27"/>
    </w:p>
    <w:p w:rsidR="00372936" w:rsidRDefault="00FC75F5" w:rsidP="00FC75F5">
      <w:pPr>
        <w:ind w:left="720" w:hanging="720"/>
      </w:pPr>
      <w:bookmarkStart w:id="28"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8"/>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BB17A0">
      <w:pPr>
        <w:pStyle w:val="Heading1"/>
      </w:pPr>
      <w:bookmarkStart w:id="29" w:name="_Toc412728392"/>
      <w:r w:rsidRPr="00AF256F">
        <w:t>Appendices</w:t>
      </w:r>
      <w:bookmarkEnd w:id="29"/>
    </w:p>
    <w:p w:rsidR="00CD72F9" w:rsidRPr="00CD72F9" w:rsidRDefault="00CD72F9" w:rsidP="00CD72F9"/>
    <w:p w:rsidR="00CD72F9" w:rsidRDefault="00CD72F9" w:rsidP="00BB17A0">
      <w:pPr>
        <w:pStyle w:val="Heading2"/>
        <w:numPr>
          <w:ilvl w:val="0"/>
          <w:numId w:val="0"/>
        </w:numPr>
        <w:ind w:left="576"/>
      </w:pPr>
      <w:bookmarkStart w:id="30" w:name="_Toc412728393"/>
      <w:r w:rsidRPr="00AF256F">
        <w:t>A.1: Data sets or products:</w:t>
      </w:r>
      <w:bookmarkEnd w:id="30"/>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0"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31"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31"/>
    </w:p>
    <w:p w:rsidR="00933E96" w:rsidRDefault="00933E96" w:rsidP="00512E8A"/>
    <w:sectPr w:rsidR="00933E96" w:rsidSect="00653D9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EE2" w:rsidRDefault="00005EE2" w:rsidP="00A761CC">
      <w:pPr>
        <w:spacing w:after="0"/>
      </w:pPr>
      <w:r>
        <w:separator/>
      </w:r>
    </w:p>
  </w:endnote>
  <w:endnote w:type="continuationSeparator" w:id="0">
    <w:p w:rsidR="00005EE2" w:rsidRDefault="00005EE2"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945F5" w:rsidRPr="007945F5">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EE2" w:rsidRDefault="00005EE2" w:rsidP="00A761CC">
      <w:pPr>
        <w:spacing w:after="0"/>
      </w:pPr>
      <w:r>
        <w:separator/>
      </w:r>
    </w:p>
  </w:footnote>
  <w:footnote w:type="continuationSeparator" w:id="0">
    <w:p w:rsidR="00005EE2" w:rsidRDefault="00005EE2"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052AC72"/>
    <w:lvl w:ilvl="0">
      <w:start w:val="1"/>
      <w:numFmt w:val="decimal"/>
      <w:pStyle w:val="Heading1"/>
      <w:lvlText w:val="%1"/>
      <w:lvlJc w:val="left"/>
      <w:pPr>
        <w:ind w:left="6102" w:hanging="432"/>
      </w:p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05EE2"/>
    <w:rsid w:val="00011752"/>
    <w:rsid w:val="00017392"/>
    <w:rsid w:val="0004169D"/>
    <w:rsid w:val="00047BBC"/>
    <w:rsid w:val="00055F57"/>
    <w:rsid w:val="00063DCD"/>
    <w:rsid w:val="00071788"/>
    <w:rsid w:val="000743B9"/>
    <w:rsid w:val="00077CB5"/>
    <w:rsid w:val="00097723"/>
    <w:rsid w:val="000A5F66"/>
    <w:rsid w:val="000B04AC"/>
    <w:rsid w:val="000B2913"/>
    <w:rsid w:val="000C5923"/>
    <w:rsid w:val="000E11EB"/>
    <w:rsid w:val="000E1566"/>
    <w:rsid w:val="000E4B9C"/>
    <w:rsid w:val="00101DC9"/>
    <w:rsid w:val="00101F8F"/>
    <w:rsid w:val="00102F1A"/>
    <w:rsid w:val="00105861"/>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07D2"/>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0057"/>
    <w:rsid w:val="0032218E"/>
    <w:rsid w:val="0032453F"/>
    <w:rsid w:val="00331B4E"/>
    <w:rsid w:val="00344B52"/>
    <w:rsid w:val="00344EAE"/>
    <w:rsid w:val="003564C6"/>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00F0"/>
    <w:rsid w:val="00452711"/>
    <w:rsid w:val="00454E6E"/>
    <w:rsid w:val="004646C4"/>
    <w:rsid w:val="0046631B"/>
    <w:rsid w:val="00467872"/>
    <w:rsid w:val="004754F9"/>
    <w:rsid w:val="00482184"/>
    <w:rsid w:val="004845D9"/>
    <w:rsid w:val="00485BE1"/>
    <w:rsid w:val="00492D03"/>
    <w:rsid w:val="004A0BC5"/>
    <w:rsid w:val="004A4154"/>
    <w:rsid w:val="004B0C94"/>
    <w:rsid w:val="004D13D9"/>
    <w:rsid w:val="004D25C3"/>
    <w:rsid w:val="004D26D5"/>
    <w:rsid w:val="004D3E36"/>
    <w:rsid w:val="004D7F4D"/>
    <w:rsid w:val="004E45EC"/>
    <w:rsid w:val="004E5F9A"/>
    <w:rsid w:val="004F0933"/>
    <w:rsid w:val="004F5D38"/>
    <w:rsid w:val="00501DCB"/>
    <w:rsid w:val="00503222"/>
    <w:rsid w:val="005068F5"/>
    <w:rsid w:val="00512E8A"/>
    <w:rsid w:val="0051510C"/>
    <w:rsid w:val="005333ED"/>
    <w:rsid w:val="00541A4C"/>
    <w:rsid w:val="00555929"/>
    <w:rsid w:val="00580D72"/>
    <w:rsid w:val="00583758"/>
    <w:rsid w:val="0059570A"/>
    <w:rsid w:val="00596D57"/>
    <w:rsid w:val="005A2CA2"/>
    <w:rsid w:val="005B16A1"/>
    <w:rsid w:val="005B3D21"/>
    <w:rsid w:val="005C442F"/>
    <w:rsid w:val="005D046E"/>
    <w:rsid w:val="005D0D2C"/>
    <w:rsid w:val="005D3890"/>
    <w:rsid w:val="005F147C"/>
    <w:rsid w:val="005F7904"/>
    <w:rsid w:val="00605E8C"/>
    <w:rsid w:val="00615AAE"/>
    <w:rsid w:val="0062208F"/>
    <w:rsid w:val="00623EBC"/>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24B85"/>
    <w:rsid w:val="0072528C"/>
    <w:rsid w:val="00731144"/>
    <w:rsid w:val="00732B87"/>
    <w:rsid w:val="0073690C"/>
    <w:rsid w:val="00742E16"/>
    <w:rsid w:val="007503E1"/>
    <w:rsid w:val="007524F8"/>
    <w:rsid w:val="00755267"/>
    <w:rsid w:val="007564E7"/>
    <w:rsid w:val="00756E5F"/>
    <w:rsid w:val="0076316E"/>
    <w:rsid w:val="00767EF8"/>
    <w:rsid w:val="00770FEF"/>
    <w:rsid w:val="007809D3"/>
    <w:rsid w:val="007945F5"/>
    <w:rsid w:val="007978D5"/>
    <w:rsid w:val="007B13D5"/>
    <w:rsid w:val="007B28AA"/>
    <w:rsid w:val="007B328F"/>
    <w:rsid w:val="007B4EF5"/>
    <w:rsid w:val="007B7966"/>
    <w:rsid w:val="007C0E7F"/>
    <w:rsid w:val="007C3786"/>
    <w:rsid w:val="007D2777"/>
    <w:rsid w:val="007D64D7"/>
    <w:rsid w:val="007E0809"/>
    <w:rsid w:val="007F7FB0"/>
    <w:rsid w:val="008029DF"/>
    <w:rsid w:val="00814DF4"/>
    <w:rsid w:val="0082243B"/>
    <w:rsid w:val="00823562"/>
    <w:rsid w:val="00830019"/>
    <w:rsid w:val="00832DD3"/>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1E7D"/>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641DD"/>
    <w:rsid w:val="00B819BA"/>
    <w:rsid w:val="00B94ED3"/>
    <w:rsid w:val="00BA585E"/>
    <w:rsid w:val="00BB17A0"/>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35741"/>
    <w:rsid w:val="00D6183B"/>
    <w:rsid w:val="00D66899"/>
    <w:rsid w:val="00D67AEB"/>
    <w:rsid w:val="00DB7165"/>
    <w:rsid w:val="00DC0474"/>
    <w:rsid w:val="00DC3AAC"/>
    <w:rsid w:val="00DD274D"/>
    <w:rsid w:val="00DD45F7"/>
    <w:rsid w:val="00DE1C07"/>
    <w:rsid w:val="00E03AF7"/>
    <w:rsid w:val="00E040E9"/>
    <w:rsid w:val="00E12514"/>
    <w:rsid w:val="00E13B22"/>
    <w:rsid w:val="00E13F3B"/>
    <w:rsid w:val="00E33F69"/>
    <w:rsid w:val="00E34034"/>
    <w:rsid w:val="00E365BC"/>
    <w:rsid w:val="00E41A46"/>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B7210"/>
    <w:rsid w:val="00FC75F5"/>
    <w:rsid w:val="00FE2B80"/>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ind w:left="576"/>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ind w:left="576"/>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s.knrd.org/knrdgisviewer/" TargetMode="External"/><Relationship Id="rId4" Type="http://schemas.openxmlformats.org/officeDocument/2006/relationships/settings" Target="settings.xml"/><Relationship Id="rId9" Type="http://schemas.openxmlformats.org/officeDocument/2006/relationships/hyperlink" Target="http://www.cbfish.org/ProgramStrategy.mvc/ProgramStrategies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450</TotalTime>
  <Pages>10</Pages>
  <Words>4712</Words>
  <Characters>26863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35</cp:revision>
  <cp:lastPrinted>2013-08-29T16:34:00Z</cp:lastPrinted>
  <dcterms:created xsi:type="dcterms:W3CDTF">2015-02-13T19:55:00Z</dcterms:created>
  <dcterms:modified xsi:type="dcterms:W3CDTF">2015-03-11T23:04:00Z</dcterms:modified>
</cp:coreProperties>
</file>