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D61CE" w:rsidRDefault="00000000">
      <w:pPr>
        <w:pStyle w:val="Heading1"/>
        <w:keepNext w:val="0"/>
        <w:keepLines w:val="0"/>
        <w:spacing w:before="480"/>
        <w:rPr>
          <w:rFonts w:ascii="Times New Roman" w:eastAsia="Times New Roman" w:hAnsi="Times New Roman" w:cs="Times New Roman"/>
          <w:b/>
          <w:bCs/>
          <w:sz w:val="46"/>
          <w:szCs w:val="46"/>
        </w:rPr>
      </w:pPr>
      <w:bookmarkStart w:id="0" w:name="_lr1qrswfbzo8" w:colFirst="0" w:colLast="0"/>
      <w:bookmarkEnd w:id="0"/>
      <w:r>
        <w:rPr>
          <w:rFonts w:ascii="Times New Roman" w:eastAsia="Times New Roman" w:hAnsi="Times New Roman" w:cs="Times New Roman"/>
          <w:b/>
          <w:bCs/>
          <w:sz w:val="46"/>
          <w:szCs w:val="46"/>
        </w:rPr>
        <w:t>Results</w:t>
      </w:r>
    </w:p>
    <w:p w14:paraId="00000002" w14:textId="77777777" w:rsidR="008D61CE" w:rsidRDefault="00000000">
      <w:pPr>
        <w:pStyle w:val="Heading2"/>
        <w:keepNext w:val="0"/>
        <w:keepLines w:val="0"/>
        <w:spacing w:after="80"/>
        <w:rPr>
          <w:rFonts w:ascii="Times New Roman" w:eastAsia="Times New Roman" w:hAnsi="Times New Roman" w:cs="Times New Roman"/>
          <w:b/>
          <w:bCs/>
          <w:sz w:val="34"/>
          <w:szCs w:val="34"/>
        </w:rPr>
      </w:pPr>
      <w:bookmarkStart w:id="1" w:name="_u1f53br2utm7" w:colFirst="0" w:colLast="0"/>
      <w:bookmarkEnd w:id="1"/>
      <w:r>
        <w:rPr>
          <w:rFonts w:ascii="Times New Roman" w:eastAsia="Times New Roman" w:hAnsi="Times New Roman" w:cs="Times New Roman"/>
          <w:b/>
          <w:bCs/>
          <w:sz w:val="34"/>
          <w:szCs w:val="34"/>
        </w:rPr>
        <w:t>Network Structure and Geographic Distribution</w:t>
      </w:r>
    </w:p>
    <w:p w14:paraId="00000003" w14:textId="3DAB080A"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final network consisted of 29 documented exploitation cases connecting multiple origin, transit, and destination locations across Africa, Europe, the Middle East, and Asia. Visual inspection of the network revealed a highly asymmetric structure in which a relatively small number of destination and transit nodes</w:t>
      </w:r>
      <w:r w:rsidR="00AB71B7">
        <w:rPr>
          <w:rFonts w:ascii="Times New Roman" w:eastAsia="Times New Roman" w:hAnsi="Times New Roman" w:cs="Times New Roman"/>
        </w:rPr>
        <w:t>, with</w:t>
      </w:r>
      <w:r>
        <w:rPr>
          <w:rFonts w:ascii="Times New Roman" w:eastAsia="Times New Roman" w:hAnsi="Times New Roman" w:cs="Times New Roman"/>
        </w:rPr>
        <w:t xml:space="preserve"> concentrated routes originating from a larger set of African source countries.</w:t>
      </w:r>
    </w:p>
    <w:p w14:paraId="00000004"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network was characterized by strong outward flows from West and Central Africa. Countries such as Nigeria, Cameroon, Côte d'Ivoire, Senegal, and The Gambia emerged as recurrent points of origin, while destinations were concentrated in North Africa, Southern Europe, the Middle East, and Southeast Asia. Node size analysis indicated that several West African countries occupied central positions within the network due to their repeated appearance across multiple </w:t>
      </w:r>
      <w:commentRangeStart w:id="2"/>
      <w:r>
        <w:rPr>
          <w:rFonts w:ascii="Times New Roman" w:eastAsia="Times New Roman" w:hAnsi="Times New Roman" w:cs="Times New Roman"/>
        </w:rPr>
        <w:t>documented cases.</w:t>
      </w:r>
      <w:commentRangeEnd w:id="2"/>
      <w:r w:rsidR="00AB71B7">
        <w:rPr>
          <w:rStyle w:val="CommentReference"/>
        </w:rPr>
        <w:commentReference w:id="2"/>
      </w:r>
    </w:p>
    <w:p w14:paraId="4CED3314" w14:textId="4880DAE1" w:rsidR="003D517F" w:rsidRPr="003D517F" w:rsidRDefault="003D517F">
      <w:pPr>
        <w:spacing w:before="240" w:after="240"/>
        <w:rPr>
          <w:rFonts w:ascii="Times New Roman" w:eastAsia="Times New Roman" w:hAnsi="Times New Roman" w:cs="Times New Roman"/>
          <w:b/>
          <w:bCs/>
        </w:rPr>
      </w:pPr>
      <w:r w:rsidRPr="003D517F">
        <w:rPr>
          <w:rFonts w:ascii="Times New Roman" w:eastAsia="Times New Roman" w:hAnsi="Times New Roman" w:cs="Times New Roman"/>
          <w:b/>
          <w:bCs/>
        </w:rPr>
        <w:t>Figure 1 to add here</w:t>
      </w:r>
    </w:p>
    <w:p w14:paraId="00000005" w14:textId="6FDD0E74"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resulting topology suggested a </w:t>
      </w:r>
      <w:commentRangeStart w:id="3"/>
      <w:r>
        <w:rPr>
          <w:rFonts w:ascii="Times New Roman" w:eastAsia="Times New Roman" w:hAnsi="Times New Roman" w:cs="Times New Roman"/>
        </w:rPr>
        <w:t xml:space="preserve">hub-and-spoke </w:t>
      </w:r>
      <w:commentRangeEnd w:id="3"/>
      <w:r w:rsidR="00AB71B7">
        <w:rPr>
          <w:rStyle w:val="CommentReference"/>
        </w:rPr>
        <w:commentReference w:id="3"/>
      </w:r>
      <w:r>
        <w:rPr>
          <w:rFonts w:ascii="Times New Roman" w:eastAsia="Times New Roman" w:hAnsi="Times New Roman" w:cs="Times New Roman"/>
        </w:rPr>
        <w:t xml:space="preserve">structure rather than a </w:t>
      </w:r>
      <w:commentRangeStart w:id="4"/>
      <w:r>
        <w:rPr>
          <w:rFonts w:ascii="Times New Roman" w:eastAsia="Times New Roman" w:hAnsi="Times New Roman" w:cs="Times New Roman"/>
        </w:rPr>
        <w:t xml:space="preserve">dispersed migration system. </w:t>
      </w:r>
      <w:commentRangeEnd w:id="4"/>
      <w:r w:rsidR="00AB71B7">
        <w:rPr>
          <w:rStyle w:val="CommentReference"/>
        </w:rPr>
        <w:commentReference w:id="4"/>
      </w:r>
      <w:r w:rsidR="003D517F">
        <w:rPr>
          <w:rFonts w:ascii="Times New Roman" w:eastAsia="Times New Roman" w:hAnsi="Times New Roman" w:cs="Times New Roman"/>
        </w:rPr>
        <w:t>For hub-and-spoke is intended …</w:t>
      </w:r>
      <w:proofErr w:type="gramStart"/>
      <w:r w:rsidR="003D517F">
        <w:rPr>
          <w:rFonts w:ascii="Times New Roman" w:eastAsia="Times New Roman" w:hAnsi="Times New Roman" w:cs="Times New Roman"/>
        </w:rPr>
        <w:t>…..</w:t>
      </w:r>
      <w:proofErr w:type="gramEnd"/>
      <w:r w:rsidR="003D517F">
        <w:rPr>
          <w:rFonts w:ascii="Times New Roman" w:eastAsia="Times New Roman" w:hAnsi="Times New Roman" w:cs="Times New Roman"/>
        </w:rPr>
        <w:t xml:space="preserve"> For dispersed migration system we instead refer to ……. </w:t>
      </w:r>
      <w:r>
        <w:rPr>
          <w:rFonts w:ascii="Times New Roman" w:eastAsia="Times New Roman" w:hAnsi="Times New Roman" w:cs="Times New Roman"/>
        </w:rPr>
        <w:t>Most routes converged on a limited number of intermediary destinations before continuing toward final markets.</w:t>
      </w:r>
    </w:p>
    <w:p w14:paraId="00000006" w14:textId="77777777" w:rsidR="008D61CE" w:rsidRDefault="008D61CE">
      <w:pPr>
        <w:rPr>
          <w:rFonts w:ascii="Times New Roman" w:eastAsia="Times New Roman" w:hAnsi="Times New Roman" w:cs="Times New Roman"/>
        </w:rPr>
      </w:pPr>
    </w:p>
    <w:p w14:paraId="00000007" w14:textId="77777777" w:rsidR="008D61CE" w:rsidRDefault="00000000">
      <w:pPr>
        <w:pStyle w:val="Heading2"/>
        <w:keepNext w:val="0"/>
        <w:keepLines w:val="0"/>
        <w:spacing w:after="80"/>
        <w:rPr>
          <w:rFonts w:ascii="Times New Roman" w:eastAsia="Times New Roman" w:hAnsi="Times New Roman" w:cs="Times New Roman"/>
          <w:b/>
          <w:bCs/>
          <w:sz w:val="34"/>
          <w:szCs w:val="34"/>
        </w:rPr>
      </w:pPr>
      <w:bookmarkStart w:id="5" w:name="_ghiqaylfqp6c" w:colFirst="0" w:colLast="0"/>
      <w:bookmarkEnd w:id="5"/>
      <w:r>
        <w:rPr>
          <w:rFonts w:ascii="Times New Roman" w:eastAsia="Times New Roman" w:hAnsi="Times New Roman" w:cs="Times New Roman"/>
          <w:b/>
          <w:bCs/>
          <w:sz w:val="34"/>
          <w:szCs w:val="34"/>
        </w:rPr>
        <w:t>Major Destination Corridors</w:t>
      </w:r>
    </w:p>
    <w:p w14:paraId="00000008"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Four primary trafficking corridors emerged from the analysis.</w:t>
      </w:r>
    </w:p>
    <w:p w14:paraId="00000009" w14:textId="77777777" w:rsidR="008D61CE"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6" w:name="_oeiwualxcylu" w:colFirst="0" w:colLast="0"/>
      <w:bookmarkEnd w:id="6"/>
      <w:r>
        <w:rPr>
          <w:rFonts w:ascii="Times New Roman" w:eastAsia="Times New Roman" w:hAnsi="Times New Roman" w:cs="Times New Roman"/>
          <w:b/>
          <w:bCs/>
          <w:color w:val="000000"/>
          <w:sz w:val="26"/>
          <w:szCs w:val="26"/>
        </w:rPr>
        <w:t>Europe Corridor</w:t>
      </w:r>
    </w:p>
    <w:p w14:paraId="0000000A"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Europe-bound corridor represented one of the most prominent pathways within the dataset. Routes connected West and Central African origins to destinations including Italy, Spain, Portugal, France, and broader European regions. </w:t>
      </w:r>
      <w:commentRangeStart w:id="7"/>
      <w:r>
        <w:rPr>
          <w:rFonts w:ascii="Times New Roman" w:eastAsia="Times New Roman" w:hAnsi="Times New Roman" w:cs="Times New Roman"/>
        </w:rPr>
        <w:t>Many of these cases involved promises of professional trials, contracts, or academy placements that ultimately proved fraudulent.</w:t>
      </w:r>
      <w:commentRangeEnd w:id="7"/>
      <w:r w:rsidR="00AB71B7">
        <w:rPr>
          <w:rStyle w:val="CommentReference"/>
        </w:rPr>
        <w:commentReference w:id="7"/>
      </w:r>
    </w:p>
    <w:p w14:paraId="534658BF" w14:textId="29EA0A1E" w:rsidR="0026668A" w:rsidRDefault="0026668A">
      <w:pPr>
        <w:spacing w:before="240" w:after="240"/>
        <w:rPr>
          <w:rFonts w:ascii="Times New Roman" w:eastAsia="Times New Roman" w:hAnsi="Times New Roman" w:cs="Times New Roman"/>
        </w:rPr>
      </w:pPr>
      <w:r>
        <w:rPr>
          <w:rFonts w:ascii="Times New Roman" w:eastAsia="Times New Roman" w:hAnsi="Times New Roman" w:cs="Times New Roman"/>
        </w:rPr>
        <w:t>For example, one player from Italy was offered a contract to move to Sweden, although the agent was never licensed by FIFA The Sun 2012</w:t>
      </w:r>
    </w:p>
    <w:p w14:paraId="0000000B"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Several routes passed through North African states before reaching Europe, suggesting that migration toward European football markets often occurred through intermediary transit zones rather than direct movement.</w:t>
      </w:r>
    </w:p>
    <w:p w14:paraId="0000000C" w14:textId="77777777" w:rsidR="008D61CE"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 w:name="_i9ijif3lcpzk" w:colFirst="0" w:colLast="0"/>
      <w:bookmarkEnd w:id="8"/>
      <w:r>
        <w:rPr>
          <w:rFonts w:ascii="Times New Roman" w:eastAsia="Times New Roman" w:hAnsi="Times New Roman" w:cs="Times New Roman"/>
          <w:b/>
          <w:bCs/>
          <w:color w:val="000000"/>
          <w:sz w:val="26"/>
          <w:szCs w:val="26"/>
        </w:rPr>
        <w:t>North Africa and Middle East Corridor</w:t>
      </w:r>
    </w:p>
    <w:p w14:paraId="0000000D"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The largest concentration of routes terminated within North Africa and the Middle East. Tunisia, Morocco, Libya, Egypt, and Gulf states appeared repeatedly as destinations or intermediate staging points.</w:t>
      </w:r>
    </w:p>
    <w:p w14:paraId="0000000E"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prominence of this corridor indicates that exploitation networks are not exclusively oriented toward Europe. Instead, North Africa appears to function simultaneously as a destination, holding area, and transit region. </w:t>
      </w:r>
      <w:commentRangeStart w:id="9"/>
      <w:r>
        <w:rPr>
          <w:rFonts w:ascii="Times New Roman" w:eastAsia="Times New Roman" w:hAnsi="Times New Roman" w:cs="Times New Roman"/>
        </w:rPr>
        <w:t>Multiple cases described players becoming stranded after arrival, having exhausted family resources or incurred significant debts to agents.</w:t>
      </w:r>
      <w:commentRangeEnd w:id="9"/>
      <w:r w:rsidR="00AB71B7">
        <w:rPr>
          <w:rStyle w:val="CommentReference"/>
        </w:rPr>
        <w:commentReference w:id="9"/>
      </w:r>
    </w:p>
    <w:p w14:paraId="0000000F" w14:textId="77777777" w:rsidR="008D61CE"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 w:name="_btisz8xqdvay" w:colFirst="0" w:colLast="0"/>
      <w:bookmarkEnd w:id="10"/>
      <w:r>
        <w:rPr>
          <w:rFonts w:ascii="Times New Roman" w:eastAsia="Times New Roman" w:hAnsi="Times New Roman" w:cs="Times New Roman"/>
          <w:b/>
          <w:bCs/>
          <w:color w:val="000000"/>
          <w:sz w:val="26"/>
          <w:szCs w:val="26"/>
        </w:rPr>
        <w:t>Asia Corridor</w:t>
      </w:r>
    </w:p>
    <w:p w14:paraId="00000010"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distinct corridor connected African origin countries with destinations in Southeast Asia, including Thailand, Cambodia, Laos, Myanmar, and Mongolia.</w:t>
      </w:r>
    </w:p>
    <w:p w14:paraId="00000011"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Although less extensive than the European and North African corridors, the presence of multiple documented routes demonstrates the growing geographic diversification of football-related trafficking networks. </w:t>
      </w:r>
      <w:commentRangeStart w:id="11"/>
      <w:r>
        <w:rPr>
          <w:rFonts w:ascii="Times New Roman" w:eastAsia="Times New Roman" w:hAnsi="Times New Roman" w:cs="Times New Roman"/>
        </w:rPr>
        <w:t>These cases frequently involved false promises of professional opportunities in emerging football markets.</w:t>
      </w:r>
      <w:commentRangeEnd w:id="11"/>
      <w:r w:rsidR="00AB71B7">
        <w:rPr>
          <w:rStyle w:val="CommentReference"/>
        </w:rPr>
        <w:commentReference w:id="11"/>
      </w:r>
    </w:p>
    <w:p w14:paraId="00000012" w14:textId="77777777" w:rsidR="008D61CE"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2" w:name="_a1oqzcc8tzyg" w:colFirst="0" w:colLast="0"/>
      <w:bookmarkEnd w:id="12"/>
      <w:r>
        <w:rPr>
          <w:rFonts w:ascii="Times New Roman" w:eastAsia="Times New Roman" w:hAnsi="Times New Roman" w:cs="Times New Roman"/>
          <w:b/>
          <w:bCs/>
          <w:color w:val="000000"/>
          <w:sz w:val="26"/>
          <w:szCs w:val="26"/>
        </w:rPr>
        <w:t>Intra-African Corridor</w:t>
      </w:r>
    </w:p>
    <w:p w14:paraId="00000013"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Several cases involved movement entirely within Africa. These routes connected West African countries to destinations elsewhere on the continent and included both cross-border migration and domestic scams.</w:t>
      </w:r>
    </w:p>
    <w:p w14:paraId="00000014"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existence of intra-African routes suggests that exploitation is not solely linked to migration toward wealthy football markets but can also occur through regional recruitment networks operating </w:t>
      </w:r>
      <w:commentRangeStart w:id="13"/>
      <w:r>
        <w:rPr>
          <w:rFonts w:ascii="Times New Roman" w:eastAsia="Times New Roman" w:hAnsi="Times New Roman" w:cs="Times New Roman"/>
        </w:rPr>
        <w:t>within Africa itself.</w:t>
      </w:r>
      <w:commentRangeEnd w:id="13"/>
      <w:r w:rsidR="00AB71B7">
        <w:rPr>
          <w:rStyle w:val="CommentReference"/>
        </w:rPr>
        <w:commentReference w:id="13"/>
      </w:r>
    </w:p>
    <w:p w14:paraId="00000015" w14:textId="77777777" w:rsidR="008D61CE" w:rsidRDefault="00000000">
      <w:pPr>
        <w:pStyle w:val="Heading2"/>
        <w:keepNext w:val="0"/>
        <w:keepLines w:val="0"/>
        <w:spacing w:after="80"/>
        <w:rPr>
          <w:rFonts w:ascii="Times New Roman" w:eastAsia="Times New Roman" w:hAnsi="Times New Roman" w:cs="Times New Roman"/>
          <w:b/>
          <w:bCs/>
          <w:sz w:val="34"/>
          <w:szCs w:val="34"/>
        </w:rPr>
      </w:pPr>
      <w:bookmarkStart w:id="14" w:name="_75lopbq0lkuy" w:colFirst="0" w:colLast="0"/>
      <w:bookmarkEnd w:id="14"/>
      <w:r>
        <w:rPr>
          <w:rFonts w:ascii="Times New Roman" w:eastAsia="Times New Roman" w:hAnsi="Times New Roman" w:cs="Times New Roman"/>
          <w:b/>
          <w:bCs/>
          <w:sz w:val="34"/>
          <w:szCs w:val="34"/>
        </w:rPr>
        <w:t>Transit and Hub Countries</w:t>
      </w:r>
    </w:p>
    <w:p w14:paraId="00000016"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Network analysis identified several locations functioning as transit or hub nodes due to their simultaneous receipt and redistribution of trafficking flows.</w:t>
      </w:r>
    </w:p>
    <w:p w14:paraId="00000017"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North African countries occupied the most significant intermediary positions within the network. Tunisia, Morocco, and Libya demonstrated characteristics of transit hubs, receiving flows from Sub-Saharan Africa while maintaining onward connections to Europe and the Middle East.</w:t>
      </w:r>
    </w:p>
    <w:p w14:paraId="00000018"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These hubs linked geographically distant regions and reduced the need for direct routes between origin and destination countries. </w:t>
      </w:r>
      <w:commentRangeStart w:id="15"/>
      <w:r>
        <w:rPr>
          <w:rFonts w:ascii="Times New Roman" w:eastAsia="Times New Roman" w:hAnsi="Times New Roman" w:cs="Times New Roman"/>
        </w:rPr>
        <w:t xml:space="preserve">Their position within the network suggests that exploitation systems frequently rely on </w:t>
      </w:r>
      <w:r w:rsidRPr="0026668A">
        <w:rPr>
          <w:rFonts w:ascii="Times New Roman" w:eastAsia="Times New Roman" w:hAnsi="Times New Roman" w:cs="Times New Roman"/>
          <w:b/>
          <w:bCs/>
        </w:rPr>
        <w:t>multi-stage migration pathways</w:t>
      </w:r>
      <w:r>
        <w:rPr>
          <w:rFonts w:ascii="Times New Roman" w:eastAsia="Times New Roman" w:hAnsi="Times New Roman" w:cs="Times New Roman"/>
        </w:rPr>
        <w:t xml:space="preserve"> rather than single-point recruitment schemes.</w:t>
      </w:r>
      <w:commentRangeEnd w:id="15"/>
      <w:r w:rsidR="00AB71B7">
        <w:rPr>
          <w:rStyle w:val="CommentReference"/>
        </w:rPr>
        <w:commentReference w:id="15"/>
      </w:r>
    </w:p>
    <w:p w14:paraId="00000019" w14:textId="77777777" w:rsidR="008D61CE" w:rsidRDefault="00000000">
      <w:pPr>
        <w:spacing w:before="240" w:after="240"/>
        <w:rPr>
          <w:rFonts w:ascii="Times New Roman" w:eastAsia="Times New Roman" w:hAnsi="Times New Roman" w:cs="Times New Roman"/>
        </w:rPr>
      </w:pPr>
      <w:commentRangeStart w:id="16"/>
      <w:r>
        <w:rPr>
          <w:rFonts w:ascii="Times New Roman" w:eastAsia="Times New Roman" w:hAnsi="Times New Roman" w:cs="Times New Roman"/>
        </w:rPr>
        <w:t>The concentration of routes through a limited number of intermediary nodes also indicates potential intervention points where regulatory oversight and anti-trafficking efforts could be concentrated.</w:t>
      </w:r>
      <w:commentRangeEnd w:id="16"/>
      <w:r w:rsidR="00AB71B7">
        <w:rPr>
          <w:rStyle w:val="CommentReference"/>
        </w:rPr>
        <w:commentReference w:id="16"/>
      </w:r>
    </w:p>
    <w:p w14:paraId="0000001A" w14:textId="77777777" w:rsidR="008D61CE" w:rsidRDefault="008D61CE">
      <w:pPr>
        <w:rPr>
          <w:rFonts w:ascii="Times New Roman" w:eastAsia="Times New Roman" w:hAnsi="Times New Roman" w:cs="Times New Roman"/>
        </w:rPr>
      </w:pPr>
    </w:p>
    <w:p w14:paraId="0000001B" w14:textId="77777777" w:rsidR="008D61CE" w:rsidRDefault="008D61CE">
      <w:pPr>
        <w:pStyle w:val="Heading2"/>
        <w:keepNext w:val="0"/>
        <w:keepLines w:val="0"/>
        <w:spacing w:after="80"/>
        <w:rPr>
          <w:rFonts w:ascii="Times New Roman" w:eastAsia="Times New Roman" w:hAnsi="Times New Roman" w:cs="Times New Roman"/>
          <w:b/>
          <w:bCs/>
          <w:sz w:val="34"/>
          <w:szCs w:val="34"/>
        </w:rPr>
      </w:pPr>
      <w:bookmarkStart w:id="17" w:name="_rchpbejml2fa" w:colFirst="0" w:colLast="0"/>
      <w:bookmarkEnd w:id="17"/>
    </w:p>
    <w:p w14:paraId="0000001C" w14:textId="77777777" w:rsidR="008D61CE" w:rsidRDefault="008D61CE">
      <w:pPr>
        <w:pStyle w:val="Heading2"/>
        <w:keepNext w:val="0"/>
        <w:keepLines w:val="0"/>
        <w:spacing w:after="80"/>
        <w:rPr>
          <w:rFonts w:ascii="Times New Roman" w:eastAsia="Times New Roman" w:hAnsi="Times New Roman" w:cs="Times New Roman"/>
          <w:b/>
          <w:bCs/>
          <w:sz w:val="34"/>
          <w:szCs w:val="34"/>
        </w:rPr>
      </w:pPr>
      <w:bookmarkStart w:id="18" w:name="_plz8wqc7cxz0" w:colFirst="0" w:colLast="0"/>
      <w:bookmarkEnd w:id="18"/>
    </w:p>
    <w:p w14:paraId="0000001D" w14:textId="77777777" w:rsidR="008D61CE" w:rsidRDefault="008D61CE">
      <w:pPr>
        <w:pStyle w:val="Heading2"/>
        <w:keepNext w:val="0"/>
        <w:keepLines w:val="0"/>
        <w:spacing w:after="80"/>
        <w:rPr>
          <w:rFonts w:ascii="Times New Roman" w:eastAsia="Times New Roman" w:hAnsi="Times New Roman" w:cs="Times New Roman"/>
          <w:b/>
          <w:bCs/>
          <w:sz w:val="34"/>
          <w:szCs w:val="34"/>
        </w:rPr>
      </w:pPr>
      <w:bookmarkStart w:id="19" w:name="_uco1iyslfqsb" w:colFirst="0" w:colLast="0"/>
      <w:bookmarkEnd w:id="19"/>
    </w:p>
    <w:p w14:paraId="0000001E" w14:textId="77777777" w:rsidR="008D61CE" w:rsidRDefault="00000000">
      <w:pPr>
        <w:pStyle w:val="Heading2"/>
        <w:keepNext w:val="0"/>
        <w:keepLines w:val="0"/>
        <w:spacing w:after="80"/>
        <w:rPr>
          <w:rFonts w:ascii="Times New Roman" w:eastAsia="Times New Roman" w:hAnsi="Times New Roman" w:cs="Times New Roman"/>
          <w:b/>
          <w:bCs/>
          <w:sz w:val="34"/>
          <w:szCs w:val="34"/>
        </w:rPr>
      </w:pPr>
      <w:bookmarkStart w:id="20" w:name="_6kdpyju89x85" w:colFirst="0" w:colLast="0"/>
      <w:bookmarkEnd w:id="20"/>
      <w:r>
        <w:rPr>
          <w:rFonts w:ascii="Times New Roman" w:eastAsia="Times New Roman" w:hAnsi="Times New Roman" w:cs="Times New Roman"/>
          <w:b/>
          <w:bCs/>
          <w:sz w:val="34"/>
          <w:szCs w:val="34"/>
        </w:rPr>
        <w:t>Dominant Exploitation Mechanisms</w:t>
      </w:r>
    </w:p>
    <w:p w14:paraId="0000001F" w14:textId="60513016"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Content analysis revealed several recurring mechanisms of deception.</w:t>
      </w:r>
      <w:r w:rsidR="00CA294A">
        <w:rPr>
          <w:rFonts w:ascii="Times New Roman" w:eastAsia="Times New Roman" w:hAnsi="Times New Roman" w:cs="Times New Roman"/>
        </w:rPr>
        <w:t xml:space="preserve"> These were…</w:t>
      </w:r>
    </w:p>
    <w:p w14:paraId="3914DB3E" w14:textId="61E4E004" w:rsidR="00CA294A" w:rsidRDefault="00CA294A">
      <w:pPr>
        <w:spacing w:before="240" w:after="240"/>
        <w:rPr>
          <w:rFonts w:ascii="Times New Roman" w:eastAsia="Times New Roman" w:hAnsi="Times New Roman" w:cs="Times New Roman"/>
        </w:rPr>
      </w:pPr>
      <w:r>
        <w:rPr>
          <w:rFonts w:ascii="Times New Roman" w:eastAsia="Times New Roman" w:hAnsi="Times New Roman" w:cs="Times New Roman"/>
        </w:rPr>
        <w:t>Starting with fraudulent Football Trials……</w:t>
      </w:r>
    </w:p>
    <w:p w14:paraId="00000020" w14:textId="77777777" w:rsidR="008D61CE"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1" w:name="_l206h2024qk" w:colFirst="0" w:colLast="0"/>
      <w:bookmarkEnd w:id="21"/>
      <w:r>
        <w:rPr>
          <w:rFonts w:ascii="Times New Roman" w:eastAsia="Times New Roman" w:hAnsi="Times New Roman" w:cs="Times New Roman"/>
          <w:b/>
          <w:bCs/>
          <w:color w:val="000000"/>
          <w:sz w:val="26"/>
          <w:szCs w:val="26"/>
        </w:rPr>
        <w:t>Fraudulent Football Trials and Contracts</w:t>
      </w:r>
    </w:p>
    <w:p w14:paraId="00000021"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most common pattern involved unlicensed agents offering access to professional trials, contracts, or academy opportunities in exchange for upfront payments. Upon arrival, players often discovered that the promised club or opport</w:t>
      </w:r>
      <w:commentRangeStart w:id="22"/>
      <w:r>
        <w:rPr>
          <w:rFonts w:ascii="Times New Roman" w:eastAsia="Times New Roman" w:hAnsi="Times New Roman" w:cs="Times New Roman"/>
        </w:rPr>
        <w:t>unity did not exist.</w:t>
      </w:r>
      <w:commentRangeEnd w:id="22"/>
      <w:r w:rsidR="00AB71B7">
        <w:rPr>
          <w:rStyle w:val="CommentReference"/>
        </w:rPr>
        <w:commentReference w:id="22"/>
      </w:r>
    </w:p>
    <w:p w14:paraId="00000022" w14:textId="77777777" w:rsidR="008D61CE"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3" w:name="_9c03orrvzsej" w:colFirst="0" w:colLast="0"/>
      <w:bookmarkEnd w:id="23"/>
      <w:r>
        <w:rPr>
          <w:rFonts w:ascii="Times New Roman" w:eastAsia="Times New Roman" w:hAnsi="Times New Roman" w:cs="Times New Roman"/>
          <w:b/>
          <w:bCs/>
          <w:color w:val="000000"/>
          <w:sz w:val="26"/>
          <w:szCs w:val="26"/>
        </w:rPr>
        <w:t>Smuggling Through Transit States</w:t>
      </w:r>
    </w:p>
    <w:p w14:paraId="00000023"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Multiple cases described movement through North African transit zones where players became stranded while attempting to continue toward Europe. </w:t>
      </w:r>
      <w:commentRangeStart w:id="24"/>
      <w:r>
        <w:rPr>
          <w:rFonts w:ascii="Times New Roman" w:eastAsia="Times New Roman" w:hAnsi="Times New Roman" w:cs="Times New Roman"/>
        </w:rPr>
        <w:t>In these situations, football aspirations were frequently intertwined with broader migration pathways.</w:t>
      </w:r>
      <w:commentRangeEnd w:id="24"/>
      <w:r w:rsidR="00AB71B7">
        <w:rPr>
          <w:rStyle w:val="CommentReference"/>
        </w:rPr>
        <w:commentReference w:id="24"/>
      </w:r>
    </w:p>
    <w:p w14:paraId="00000024" w14:textId="77777777" w:rsidR="008D61CE"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5" w:name="_un0h53is4ort" w:colFirst="0" w:colLast="0"/>
      <w:bookmarkEnd w:id="25"/>
      <w:r>
        <w:rPr>
          <w:rFonts w:ascii="Times New Roman" w:eastAsia="Times New Roman" w:hAnsi="Times New Roman" w:cs="Times New Roman"/>
          <w:b/>
          <w:bCs/>
          <w:color w:val="000000"/>
          <w:sz w:val="26"/>
          <w:szCs w:val="26"/>
        </w:rPr>
        <w:t>Confinement and Exploitative Living Conditions</w:t>
      </w:r>
    </w:p>
    <w:p w14:paraId="00000025"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Several reports documented players being housed in overcrowded accommodations, prevented from leaving training compounds, or subjected to exploitative </w:t>
      </w:r>
      <w:proofErr w:type="spellStart"/>
      <w:r>
        <w:rPr>
          <w:rFonts w:ascii="Times New Roman" w:eastAsia="Times New Roman" w:hAnsi="Times New Roman" w:cs="Times New Roman"/>
        </w:rPr>
        <w:t>labor</w:t>
      </w:r>
      <w:proofErr w:type="spellEnd"/>
      <w:r>
        <w:rPr>
          <w:rFonts w:ascii="Times New Roman" w:eastAsia="Times New Roman" w:hAnsi="Times New Roman" w:cs="Times New Roman"/>
        </w:rPr>
        <w:t xml:space="preserve"> conditions after recruitment.</w:t>
      </w:r>
    </w:p>
    <w:p w14:paraId="00000026" w14:textId="77777777" w:rsidR="008D61CE"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6" w:name="_zc4k0qs05ryn" w:colFirst="0" w:colLast="0"/>
      <w:bookmarkEnd w:id="26"/>
      <w:r>
        <w:rPr>
          <w:rFonts w:ascii="Times New Roman" w:eastAsia="Times New Roman" w:hAnsi="Times New Roman" w:cs="Times New Roman"/>
          <w:b/>
          <w:bCs/>
          <w:color w:val="000000"/>
          <w:sz w:val="26"/>
          <w:szCs w:val="26"/>
        </w:rPr>
        <w:t>Financial Fraud</w:t>
      </w:r>
    </w:p>
    <w:p w14:paraId="00000027"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Some incidents involved schemes in which no actual player movement occurred. Instead, families and players were persuaded to pay recruitment fees, visa costs, or administrative charges for opportunities that were entirely </w:t>
      </w:r>
      <w:commentRangeStart w:id="27"/>
      <w:r>
        <w:rPr>
          <w:rFonts w:ascii="Times New Roman" w:eastAsia="Times New Roman" w:hAnsi="Times New Roman" w:cs="Times New Roman"/>
        </w:rPr>
        <w:t>fictitious.</w:t>
      </w:r>
      <w:commentRangeEnd w:id="27"/>
      <w:r w:rsidR="003437AB">
        <w:rPr>
          <w:rStyle w:val="CommentReference"/>
        </w:rPr>
        <w:commentReference w:id="27"/>
      </w:r>
    </w:p>
    <w:p w14:paraId="00000028" w14:textId="77777777" w:rsidR="008D61CE" w:rsidRDefault="00000000">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Spatial Concentration of Exploitation</w:t>
      </w:r>
    </w:p>
    <w:p w14:paraId="00000029"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network demonstrates that football trafficking is not randomly distributed across geographic space. Instead, exploitation routes cluster around identifiable corridors connecting talent-rich regions in West and Central Africa with football markets in Europe, North Africa, the Middle East, and Asia.</w:t>
      </w:r>
    </w:p>
    <w:p w14:paraId="0000002A" w14:textId="77777777" w:rsidR="008D61CE" w:rsidRDefault="00000000">
      <w:pPr>
        <w:spacing w:before="240" w:after="240"/>
        <w:rPr>
          <w:rFonts w:ascii="Times New Roman" w:eastAsia="Times New Roman" w:hAnsi="Times New Roman" w:cs="Times New Roman"/>
        </w:rPr>
      </w:pPr>
      <w:commentRangeStart w:id="28"/>
      <w:r>
        <w:rPr>
          <w:rFonts w:ascii="Times New Roman" w:eastAsia="Times New Roman" w:hAnsi="Times New Roman" w:cs="Times New Roman"/>
        </w:rPr>
        <w:t>The strongest concentration of origin nodes occurred in West Africa, while North Africa occupied a strategic intermediary position between Sub-Saharan Africa and external destinations. This geographic pattern suggests that trafficking networks exploit existing migration routes, transportation infrastructure, and widespread perceptions that professional football provides a pathway to economic mobility.</w:t>
      </w:r>
      <w:commentRangeEnd w:id="28"/>
      <w:r w:rsidR="003437AB">
        <w:rPr>
          <w:rStyle w:val="CommentReference"/>
        </w:rPr>
        <w:commentReference w:id="28"/>
      </w:r>
    </w:p>
    <w:p w14:paraId="0000002B" w14:textId="77777777" w:rsidR="008D61C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Overall, the findings reveal a transnational system characterized by concentrated origin regions, strategically positioned transit hubs, and multiple destination markets. Rather than representing isolated incidents, the documented cases collectively illustrate a structured network of exploitation operating across several continents.</w:t>
      </w:r>
    </w:p>
    <w:p w14:paraId="0000002C" w14:textId="77777777" w:rsidR="008D61CE" w:rsidRDefault="008D61CE">
      <w:pPr>
        <w:rPr>
          <w:rFonts w:ascii="Times New Roman" w:eastAsia="Times New Roman" w:hAnsi="Times New Roman" w:cs="Times New Roman"/>
        </w:rPr>
      </w:pPr>
    </w:p>
    <w:sectPr w:rsidR="008D61CE">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orrito, Alessio" w:date="2026-07-08T14:23:00Z" w:initials="AN">
    <w:p w14:paraId="65603F4C" w14:textId="77777777" w:rsidR="00AB71B7" w:rsidRDefault="00AB71B7" w:rsidP="00AB71B7">
      <w:pPr>
        <w:pStyle w:val="CommentText"/>
      </w:pPr>
      <w:r>
        <w:rPr>
          <w:rStyle w:val="CommentReference"/>
        </w:rPr>
        <w:annotationRef/>
      </w:r>
      <w:r>
        <w:t>Maybe it could be good to include the visualization here?</w:t>
      </w:r>
    </w:p>
  </w:comment>
  <w:comment w:id="3" w:author="Norrito, Alessio" w:date="2026-07-08T14:23:00Z" w:initials="AN">
    <w:p w14:paraId="40FA19CB" w14:textId="77777777" w:rsidR="00AB71B7" w:rsidRDefault="00AB71B7" w:rsidP="00AB71B7">
      <w:pPr>
        <w:pStyle w:val="CommentText"/>
      </w:pPr>
      <w:r>
        <w:rPr>
          <w:rStyle w:val="CommentReference"/>
        </w:rPr>
        <w:annotationRef/>
      </w:r>
      <w:r>
        <w:t>How would you explain this in simple terms?</w:t>
      </w:r>
    </w:p>
  </w:comment>
  <w:comment w:id="4" w:author="Norrito, Alessio" w:date="2026-07-08T14:23:00Z" w:initials="AN">
    <w:p w14:paraId="4C1E3430" w14:textId="77777777" w:rsidR="00AB71B7" w:rsidRDefault="00AB71B7" w:rsidP="00AB71B7">
      <w:pPr>
        <w:pStyle w:val="CommentText"/>
      </w:pPr>
      <w:r>
        <w:rPr>
          <w:rStyle w:val="CommentReference"/>
        </w:rPr>
        <w:annotationRef/>
      </w:r>
      <w:r>
        <w:t>Same for this, how can we explain it in simple terms?</w:t>
      </w:r>
    </w:p>
  </w:comment>
  <w:comment w:id="7" w:author="Norrito, Alessio" w:date="2026-07-08T14:25:00Z" w:initials="AN">
    <w:p w14:paraId="3C096800" w14:textId="77777777" w:rsidR="00AB71B7" w:rsidRDefault="00AB71B7" w:rsidP="00AB71B7">
      <w:pPr>
        <w:pStyle w:val="CommentText"/>
      </w:pPr>
      <w:r>
        <w:rPr>
          <w:rStyle w:val="CommentReference"/>
        </w:rPr>
        <w:annotationRef/>
      </w:r>
      <w:r>
        <w:t>I think it would be good to present an example here</w:t>
      </w:r>
    </w:p>
  </w:comment>
  <w:comment w:id="9" w:author="Norrito, Alessio" w:date="2026-07-08T14:26:00Z" w:initials="AN">
    <w:p w14:paraId="50158860" w14:textId="77777777" w:rsidR="00AB71B7" w:rsidRDefault="00AB71B7" w:rsidP="00AB71B7">
      <w:pPr>
        <w:pStyle w:val="CommentText"/>
      </w:pPr>
      <w:r>
        <w:rPr>
          <w:rStyle w:val="CommentReference"/>
        </w:rPr>
        <w:annotationRef/>
      </w:r>
      <w:r>
        <w:t>Same here, maybe it can be good to put an example (making sure that it is anonymized)</w:t>
      </w:r>
    </w:p>
  </w:comment>
  <w:comment w:id="11" w:author="Norrito, Alessio" w:date="2026-07-08T14:27:00Z" w:initials="AN">
    <w:p w14:paraId="25B45AA4" w14:textId="77777777" w:rsidR="00AB71B7" w:rsidRDefault="00AB71B7" w:rsidP="00AB71B7">
      <w:pPr>
        <w:pStyle w:val="CommentText"/>
      </w:pPr>
      <w:r>
        <w:rPr>
          <w:rStyle w:val="CommentReference"/>
        </w:rPr>
        <w:annotationRef/>
      </w:r>
      <w:r>
        <w:t>Same here, including one example may be good</w:t>
      </w:r>
    </w:p>
  </w:comment>
  <w:comment w:id="13" w:author="Norrito, Alessio" w:date="2026-07-08T14:28:00Z" w:initials="AN">
    <w:p w14:paraId="446CA756" w14:textId="77777777" w:rsidR="00AB71B7" w:rsidRDefault="00AB71B7" w:rsidP="00AB71B7">
      <w:pPr>
        <w:pStyle w:val="CommentText"/>
      </w:pPr>
      <w:r>
        <w:rPr>
          <w:rStyle w:val="CommentReference"/>
        </w:rPr>
        <w:annotationRef/>
      </w:r>
      <w:r>
        <w:t>This is super interesting. We may want to merge it with the North Africa paragraph, and then talk a little bit more about the nuances within Africa</w:t>
      </w:r>
    </w:p>
  </w:comment>
  <w:comment w:id="15" w:author="Norrito, Alessio" w:date="2026-07-08T14:30:00Z" w:initials="AN">
    <w:p w14:paraId="3855CE7A" w14:textId="77777777" w:rsidR="00AB71B7" w:rsidRDefault="00AB71B7" w:rsidP="00AB71B7">
      <w:pPr>
        <w:pStyle w:val="CommentText"/>
      </w:pPr>
      <w:r>
        <w:rPr>
          <w:rStyle w:val="CommentReference"/>
        </w:rPr>
        <w:annotationRef/>
      </w:r>
      <w:r>
        <w:t>This is a key point in my opinion, and one that we can build upon</w:t>
      </w:r>
    </w:p>
  </w:comment>
  <w:comment w:id="16" w:author="Norrito, Alessio" w:date="2026-07-08T14:31:00Z" w:initials="AN">
    <w:p w14:paraId="792F62CA" w14:textId="77777777" w:rsidR="00AB71B7" w:rsidRDefault="00AB71B7" w:rsidP="00AB71B7">
      <w:pPr>
        <w:pStyle w:val="CommentText"/>
      </w:pPr>
      <w:r>
        <w:rPr>
          <w:rStyle w:val="CommentReference"/>
        </w:rPr>
        <w:annotationRef/>
      </w:r>
      <w:r>
        <w:t>Excellent practical implications</w:t>
      </w:r>
    </w:p>
  </w:comment>
  <w:comment w:id="22" w:author="Norrito, Alessio" w:date="2026-07-08T14:31:00Z" w:initials="AN">
    <w:p w14:paraId="1360130D" w14:textId="77777777" w:rsidR="00AB71B7" w:rsidRDefault="00AB71B7" w:rsidP="00AB71B7">
      <w:pPr>
        <w:pStyle w:val="CommentText"/>
      </w:pPr>
      <w:r>
        <w:rPr>
          <w:rStyle w:val="CommentReference"/>
        </w:rPr>
        <w:annotationRef/>
      </w:r>
      <w:r>
        <w:t>Example</w:t>
      </w:r>
    </w:p>
  </w:comment>
  <w:comment w:id="24" w:author="Norrito, Alessio" w:date="2026-07-08T14:32:00Z" w:initials="AN">
    <w:p w14:paraId="33FAEFAF" w14:textId="77777777" w:rsidR="00AB71B7" w:rsidRDefault="00AB71B7" w:rsidP="00AB71B7">
      <w:pPr>
        <w:pStyle w:val="CommentText"/>
      </w:pPr>
      <w:r>
        <w:rPr>
          <w:rStyle w:val="CommentReference"/>
        </w:rPr>
        <w:annotationRef/>
      </w:r>
      <w:r>
        <w:t>Maybe we can add a bit of nuance here, to understand a bit more what it means</w:t>
      </w:r>
    </w:p>
  </w:comment>
  <w:comment w:id="27" w:author="Norrito, Alessio" w:date="2026-07-08T14:34:00Z" w:initials="AN">
    <w:p w14:paraId="5BA1A0DE" w14:textId="77777777" w:rsidR="003437AB" w:rsidRDefault="003437AB" w:rsidP="003437AB">
      <w:pPr>
        <w:pStyle w:val="CommentText"/>
      </w:pPr>
      <w:r>
        <w:rPr>
          <w:rStyle w:val="CommentReference"/>
        </w:rPr>
        <w:annotationRef/>
      </w:r>
      <w:r>
        <w:t>I think we could converge these four points into a single paragraph that covers the mechanisms, aiming to achieve depth</w:t>
      </w:r>
    </w:p>
  </w:comment>
  <w:comment w:id="28" w:author="Norrito, Alessio" w:date="2026-07-08T14:38:00Z" w:initials="AN">
    <w:p w14:paraId="679C86F5" w14:textId="77777777" w:rsidR="003437AB" w:rsidRDefault="003437AB" w:rsidP="003437AB">
      <w:pPr>
        <w:pStyle w:val="CommentText"/>
      </w:pPr>
      <w:r>
        <w:rPr>
          <w:rStyle w:val="CommentReference"/>
        </w:rPr>
        <w:annotationRef/>
      </w:r>
      <w:r>
        <w:t>Maybe this is a bit repetitive, and can be integrated in the points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603F4C" w15:done="0"/>
  <w15:commentEx w15:paraId="40FA19CB" w15:done="0"/>
  <w15:commentEx w15:paraId="4C1E3430" w15:done="0"/>
  <w15:commentEx w15:paraId="3C096800" w15:done="0"/>
  <w15:commentEx w15:paraId="50158860" w15:done="0"/>
  <w15:commentEx w15:paraId="25B45AA4" w15:done="0"/>
  <w15:commentEx w15:paraId="446CA756" w15:done="0"/>
  <w15:commentEx w15:paraId="3855CE7A" w15:done="0"/>
  <w15:commentEx w15:paraId="792F62CA" w15:done="0"/>
  <w15:commentEx w15:paraId="1360130D" w15:done="0"/>
  <w15:commentEx w15:paraId="33FAEFAF" w15:done="0"/>
  <w15:commentEx w15:paraId="5BA1A0DE" w15:done="0"/>
  <w15:commentEx w15:paraId="679C86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BC13EC" w16cex:dateUtc="2026-07-08T19:23:00Z"/>
  <w16cex:commentExtensible w16cex:durableId="2F8BCC06" w16cex:dateUtc="2026-07-08T19:23:00Z"/>
  <w16cex:commentExtensible w16cex:durableId="4B75103C" w16cex:dateUtc="2026-07-08T19:23:00Z"/>
  <w16cex:commentExtensible w16cex:durableId="49F76CB4" w16cex:dateUtc="2026-07-08T19:25:00Z"/>
  <w16cex:commentExtensible w16cex:durableId="0021A4B1" w16cex:dateUtc="2026-07-08T19:26:00Z"/>
  <w16cex:commentExtensible w16cex:durableId="46C24CDD" w16cex:dateUtc="2026-07-08T19:27:00Z"/>
  <w16cex:commentExtensible w16cex:durableId="1B132FFE" w16cex:dateUtc="2026-07-08T19:28:00Z"/>
  <w16cex:commentExtensible w16cex:durableId="30522029" w16cex:dateUtc="2026-07-08T19:30:00Z"/>
  <w16cex:commentExtensible w16cex:durableId="7F334BB3" w16cex:dateUtc="2026-07-08T19:31:00Z"/>
  <w16cex:commentExtensible w16cex:durableId="75E6C7DB" w16cex:dateUtc="2026-07-08T19:31:00Z"/>
  <w16cex:commentExtensible w16cex:durableId="72D4F9F9" w16cex:dateUtc="2026-07-08T19:32:00Z"/>
  <w16cex:commentExtensible w16cex:durableId="5E52D10E" w16cex:dateUtc="2026-07-08T19:34:00Z"/>
  <w16cex:commentExtensible w16cex:durableId="1A503FA3" w16cex:dateUtc="2026-07-08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603F4C" w16cid:durableId="35BC13EC"/>
  <w16cid:commentId w16cid:paraId="40FA19CB" w16cid:durableId="2F8BCC06"/>
  <w16cid:commentId w16cid:paraId="4C1E3430" w16cid:durableId="4B75103C"/>
  <w16cid:commentId w16cid:paraId="3C096800" w16cid:durableId="49F76CB4"/>
  <w16cid:commentId w16cid:paraId="50158860" w16cid:durableId="0021A4B1"/>
  <w16cid:commentId w16cid:paraId="25B45AA4" w16cid:durableId="46C24CDD"/>
  <w16cid:commentId w16cid:paraId="446CA756" w16cid:durableId="1B132FFE"/>
  <w16cid:commentId w16cid:paraId="3855CE7A" w16cid:durableId="30522029"/>
  <w16cid:commentId w16cid:paraId="792F62CA" w16cid:durableId="7F334BB3"/>
  <w16cid:commentId w16cid:paraId="1360130D" w16cid:durableId="75E6C7DB"/>
  <w16cid:commentId w16cid:paraId="33FAEFAF" w16cid:durableId="72D4F9F9"/>
  <w16cid:commentId w16cid:paraId="5BA1A0DE" w16cid:durableId="5E52D10E"/>
  <w16cid:commentId w16cid:paraId="679C86F5" w16cid:durableId="1A503F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50BFBA-2077-4FB8-95FA-640B8ECB8232}"/>
  </w:font>
  <w:font w:name="Cambria">
    <w:panose1 w:val="02040503050406030204"/>
    <w:charset w:val="00"/>
    <w:family w:val="roman"/>
    <w:pitch w:val="variable"/>
    <w:sig w:usb0="E00006FF" w:usb1="420024FF" w:usb2="02000000" w:usb3="00000000" w:csb0="0000019F" w:csb1="00000000"/>
    <w:embedRegular r:id="rId2" w:fontKey="{6A7F8518-F64A-4983-B49D-ECB4CC336469}"/>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rrito, Alessio">
    <w15:presenceInfo w15:providerId="AD" w15:userId="S::anorrito@illinois.edu::7c9ae376-bb54-4e6a-a302-122ffa0528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1CE"/>
    <w:rsid w:val="00014A01"/>
    <w:rsid w:val="0026668A"/>
    <w:rsid w:val="003437AB"/>
    <w:rsid w:val="003D517F"/>
    <w:rsid w:val="008D61CE"/>
    <w:rsid w:val="00925FB3"/>
    <w:rsid w:val="00AB71B7"/>
    <w:rsid w:val="00CA2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5B170"/>
  <w15:docId w15:val="{9E48DC52-8A00-4C61-9384-CA6E3B19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AB71B7"/>
    <w:rPr>
      <w:sz w:val="16"/>
      <w:szCs w:val="16"/>
    </w:rPr>
  </w:style>
  <w:style w:type="paragraph" w:styleId="CommentText">
    <w:name w:val="annotation text"/>
    <w:basedOn w:val="Normal"/>
    <w:link w:val="CommentTextChar"/>
    <w:uiPriority w:val="99"/>
    <w:unhideWhenUsed/>
    <w:rsid w:val="00AB71B7"/>
    <w:pPr>
      <w:spacing w:line="240" w:lineRule="auto"/>
    </w:pPr>
    <w:rPr>
      <w:sz w:val="20"/>
      <w:szCs w:val="20"/>
    </w:rPr>
  </w:style>
  <w:style w:type="character" w:customStyle="1" w:styleId="CommentTextChar">
    <w:name w:val="Comment Text Char"/>
    <w:basedOn w:val="DefaultParagraphFont"/>
    <w:link w:val="CommentText"/>
    <w:uiPriority w:val="99"/>
    <w:rsid w:val="00AB71B7"/>
    <w:rPr>
      <w:sz w:val="20"/>
      <w:szCs w:val="20"/>
    </w:rPr>
  </w:style>
  <w:style w:type="paragraph" w:styleId="CommentSubject">
    <w:name w:val="annotation subject"/>
    <w:basedOn w:val="CommentText"/>
    <w:next w:val="CommentText"/>
    <w:link w:val="CommentSubjectChar"/>
    <w:uiPriority w:val="99"/>
    <w:semiHidden/>
    <w:unhideWhenUsed/>
    <w:rsid w:val="00AB71B7"/>
    <w:rPr>
      <w:b/>
      <w:bCs/>
    </w:rPr>
  </w:style>
  <w:style w:type="character" w:customStyle="1" w:styleId="CommentSubjectChar">
    <w:name w:val="Comment Subject Char"/>
    <w:basedOn w:val="CommentTextChar"/>
    <w:link w:val="CommentSubject"/>
    <w:uiPriority w:val="99"/>
    <w:semiHidden/>
    <w:rsid w:val="00AB71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904</Words>
  <Characters>5981</Characters>
  <Application>Microsoft Office Word</Application>
  <DocSecurity>0</DocSecurity>
  <Lines>98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Norrito, Alessio</cp:lastModifiedBy>
  <cp:revision>2</cp:revision>
  <dcterms:created xsi:type="dcterms:W3CDTF">2026-07-08T19:21:00Z</dcterms:created>
  <dcterms:modified xsi:type="dcterms:W3CDTF">2026-07-08T21:02:00Z</dcterms:modified>
</cp:coreProperties>
</file>