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04639883" w:displacedByCustomXml="next"/>
    <w:bookmarkStart w:id="1" w:name="_Toc304642596" w:displacedByCustomXml="next"/>
    <w:sdt>
      <w:sdtPr>
        <w:rPr>
          <w:rFonts w:eastAsiaTheme="majorEastAsia" w:cstheme="minorHAnsi"/>
          <w:caps/>
        </w:rPr>
        <w:id w:val="-71817484"/>
        <w:docPartObj>
          <w:docPartGallery w:val="Cover Pages"/>
          <w:docPartUnique/>
        </w:docPartObj>
      </w:sdtPr>
      <w:sdtEndPr/>
      <w:sdtContent>
        <w:tbl>
          <w:tblPr>
            <w:tblW w:w="5000" w:type="pct"/>
            <w:jc w:val="center"/>
            <w:tblLook w:val="04A0" w:firstRow="1" w:lastRow="0" w:firstColumn="1" w:lastColumn="0" w:noHBand="0" w:noVBand="1"/>
          </w:tblPr>
          <w:tblGrid>
            <w:gridCol w:w="9242"/>
          </w:tblGrid>
          <w:tr w:rsidR="007452A8" w:rsidTr="007452A8">
            <w:trPr>
              <w:trHeight w:val="2880"/>
              <w:jc w:val="center"/>
            </w:trPr>
            <w:tc>
              <w:tcPr>
                <w:tcW w:w="5000" w:type="pct"/>
              </w:tcPr>
              <w:p w:rsidR="007452A8" w:rsidRDefault="00220D30">
                <w:pPr>
                  <w:pStyle w:val="NoSpacing"/>
                  <w:spacing w:line="276" w:lineRule="auto"/>
                  <w:jc w:val="center"/>
                  <w:rPr>
                    <w:rFonts w:eastAsiaTheme="majorEastAsia" w:cstheme="minorHAnsi"/>
                    <w:caps/>
                  </w:rPr>
                </w:pPr>
                <w:sdt>
                  <w:sdtPr>
                    <w:rPr>
                      <w:rFonts w:eastAsiaTheme="majorEastAsia" w:cstheme="minorHAnsi"/>
                      <w:caps/>
                    </w:rPr>
                    <w:alias w:val="Company"/>
                    <w:id w:val="15524243"/>
                    <w:dataBinding w:prefixMappings="xmlns:ns0='http://schemas.openxmlformats.org/officeDocument/2006/extended-properties'" w:xpath="/ns0:Properties[1]/ns0:Company[1]" w:storeItemID="{6668398D-A668-4E3E-A5EB-62B293D839F1}"/>
                    <w:text/>
                  </w:sdtPr>
                  <w:sdtEndPr/>
                  <w:sdtContent>
                    <w:r w:rsidR="007452A8">
                      <w:rPr>
                        <w:rFonts w:eastAsiaTheme="majorEastAsia" w:cstheme="minorHAnsi"/>
                        <w:caps/>
                      </w:rPr>
                      <w:t>BLUEsat UNSW Student Satellite Project</w:t>
                    </w:r>
                  </w:sdtContent>
                </w:sdt>
              </w:p>
              <w:p w:rsidR="007452A8" w:rsidRDefault="007452A8"/>
              <w:p w:rsidR="007452A8" w:rsidRDefault="007452A8"/>
              <w:p w:rsidR="007452A8" w:rsidRDefault="007452A8"/>
              <w:p w:rsidR="007452A8" w:rsidRDefault="007452A8"/>
              <w:p w:rsidR="007452A8" w:rsidRDefault="00BB0C88" w:rsidP="003130BB">
                <w:pPr>
                  <w:jc w:val="center"/>
                  <w:rPr>
                    <w:sz w:val="44"/>
                    <w:szCs w:val="44"/>
                  </w:rPr>
                </w:pPr>
                <w:r>
                  <w:rPr>
                    <w:sz w:val="44"/>
                    <w:szCs w:val="44"/>
                  </w:rPr>
                  <w:t>Document BLUE.2011.3</w:t>
                </w:r>
                <w:r w:rsidR="007452A8">
                  <w:rPr>
                    <w:sz w:val="44"/>
                    <w:szCs w:val="44"/>
                  </w:rPr>
                  <w:t>.</w:t>
                </w:r>
                <w:r w:rsidR="003130BB">
                  <w:rPr>
                    <w:sz w:val="44"/>
                    <w:szCs w:val="44"/>
                  </w:rPr>
                  <w:t>0</w:t>
                </w:r>
              </w:p>
            </w:tc>
          </w:tr>
          <w:tr w:rsidR="007452A8" w:rsidTr="007452A8">
            <w:trPr>
              <w:trHeight w:val="1440"/>
              <w:jc w:val="center"/>
            </w:trPr>
            <w:sdt>
              <w:sdtPr>
                <w:rPr>
                  <w:rFonts w:eastAsiaTheme="majorEastAsia" w:cstheme="minorHAns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top w:val="nil"/>
                      <w:left w:val="nil"/>
                      <w:bottom w:val="single" w:sz="4" w:space="0" w:color="4F81BD" w:themeColor="accent1"/>
                      <w:right w:val="nil"/>
                    </w:tcBorders>
                    <w:vAlign w:val="center"/>
                    <w:hideMark/>
                  </w:tcPr>
                  <w:p w:rsidR="007452A8" w:rsidRDefault="00BB0C88" w:rsidP="00BB0C88">
                    <w:pPr>
                      <w:pStyle w:val="NoSpacing"/>
                      <w:spacing w:line="276" w:lineRule="auto"/>
                      <w:jc w:val="center"/>
                      <w:rPr>
                        <w:rFonts w:eastAsiaTheme="majorEastAsia" w:cstheme="minorHAnsi"/>
                        <w:sz w:val="80"/>
                        <w:szCs w:val="80"/>
                      </w:rPr>
                    </w:pPr>
                    <w:r>
                      <w:rPr>
                        <w:rFonts w:eastAsiaTheme="majorEastAsia" w:cstheme="minorHAnsi"/>
                        <w:sz w:val="80"/>
                        <w:szCs w:val="80"/>
                      </w:rPr>
                      <w:t>Battery Charge Regulator</w:t>
                    </w:r>
                  </w:p>
                </w:tc>
              </w:sdtContent>
            </w:sdt>
          </w:tr>
          <w:tr w:rsidR="007452A8" w:rsidTr="007452A8">
            <w:trPr>
              <w:trHeight w:val="720"/>
              <w:jc w:val="center"/>
            </w:trPr>
            <w:sdt>
              <w:sdtPr>
                <w:rPr>
                  <w:rFonts w:eastAsiaTheme="majorEastAsia" w:cstheme="minorHAns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left w:val="nil"/>
                      <w:bottom w:val="nil"/>
                      <w:right w:val="nil"/>
                    </w:tcBorders>
                    <w:vAlign w:val="center"/>
                    <w:hideMark/>
                  </w:tcPr>
                  <w:p w:rsidR="007452A8" w:rsidRDefault="00BB0C88" w:rsidP="003130BB">
                    <w:pPr>
                      <w:pStyle w:val="NoSpacing"/>
                      <w:spacing w:line="276" w:lineRule="auto"/>
                      <w:jc w:val="center"/>
                      <w:rPr>
                        <w:rFonts w:eastAsiaTheme="majorEastAsia" w:cstheme="minorHAnsi"/>
                        <w:sz w:val="44"/>
                        <w:szCs w:val="44"/>
                      </w:rPr>
                    </w:pPr>
                    <w:r>
                      <w:rPr>
                        <w:rFonts w:eastAsiaTheme="majorEastAsia" w:cstheme="minorHAnsi"/>
                        <w:sz w:val="44"/>
                        <w:szCs w:val="44"/>
                      </w:rPr>
                      <w:t xml:space="preserve">The </w:t>
                    </w:r>
                    <w:r w:rsidRPr="00BB0C88">
                      <w:rPr>
                        <w:rFonts w:eastAsiaTheme="majorEastAsia" w:cstheme="minorHAnsi"/>
                        <w:sz w:val="44"/>
                        <w:szCs w:val="44"/>
                      </w:rPr>
                      <w:t>Redesign of the BL</w:t>
                    </w:r>
                    <w:r>
                      <w:rPr>
                        <w:rFonts w:eastAsiaTheme="majorEastAsia" w:cstheme="minorHAnsi"/>
                        <w:sz w:val="44"/>
                        <w:szCs w:val="44"/>
                      </w:rPr>
                      <w:t>UEsat Battery Charge Regulator S</w:t>
                    </w:r>
                    <w:r w:rsidRPr="00BB0C88">
                      <w:rPr>
                        <w:rFonts w:eastAsiaTheme="majorEastAsia" w:cstheme="minorHAnsi"/>
                        <w:sz w:val="44"/>
                        <w:szCs w:val="44"/>
                      </w:rPr>
                      <w:t>ubsystem</w:t>
                    </w:r>
                  </w:p>
                </w:tc>
              </w:sdtContent>
            </w:sdt>
          </w:tr>
          <w:tr w:rsidR="007452A8" w:rsidTr="007452A8">
            <w:trPr>
              <w:trHeight w:val="1540"/>
              <w:jc w:val="center"/>
            </w:trPr>
            <w:tc>
              <w:tcPr>
                <w:tcW w:w="5000" w:type="pct"/>
                <w:tcBorders>
                  <w:top w:val="single" w:sz="4" w:space="0" w:color="4F81BD" w:themeColor="accent1"/>
                  <w:left w:val="nil"/>
                  <w:bottom w:val="nil"/>
                  <w:right w:val="nil"/>
                </w:tcBorders>
                <w:vAlign w:val="center"/>
              </w:tcPr>
              <w:p w:rsidR="007452A8" w:rsidRDefault="007452A8">
                <w:pPr>
                  <w:pStyle w:val="NoSpacing"/>
                  <w:spacing w:line="276" w:lineRule="auto"/>
                  <w:jc w:val="center"/>
                  <w:rPr>
                    <w:rFonts w:eastAsiaTheme="majorEastAsia" w:cstheme="minorHAnsi"/>
                    <w:sz w:val="44"/>
                    <w:szCs w:val="44"/>
                  </w:rPr>
                </w:pPr>
              </w:p>
              <w:p w:rsidR="007452A8" w:rsidRDefault="007452A8">
                <w:pPr>
                  <w:pStyle w:val="NoSpacing"/>
                  <w:spacing w:line="276" w:lineRule="auto"/>
                  <w:jc w:val="center"/>
                  <w:rPr>
                    <w:rFonts w:eastAsiaTheme="majorEastAsia" w:cstheme="minorHAnsi"/>
                    <w:sz w:val="44"/>
                    <w:szCs w:val="44"/>
                  </w:rPr>
                </w:pPr>
              </w:p>
              <w:p w:rsidR="007452A8" w:rsidRDefault="007452A8">
                <w:pPr>
                  <w:pStyle w:val="NoSpacing"/>
                  <w:spacing w:line="276" w:lineRule="auto"/>
                  <w:jc w:val="left"/>
                  <w:rPr>
                    <w:rFonts w:eastAsiaTheme="majorEastAsia" w:cstheme="minorHAnsi"/>
                    <w:b/>
                    <w:sz w:val="32"/>
                    <w:szCs w:val="32"/>
                  </w:rPr>
                </w:pPr>
                <w:r>
                  <w:rPr>
                    <w:rFonts w:eastAsiaTheme="majorEastAsia" w:cstheme="minorHAnsi"/>
                    <w:b/>
                    <w:sz w:val="32"/>
                    <w:szCs w:val="32"/>
                  </w:rPr>
                  <w:t>Authors and Contributors:</w:t>
                </w:r>
              </w:p>
              <w:p w:rsidR="007452A8" w:rsidRDefault="00BB0C88">
                <w:pPr>
                  <w:pStyle w:val="NoSpacing"/>
                  <w:spacing w:line="276" w:lineRule="auto"/>
                  <w:jc w:val="left"/>
                  <w:rPr>
                    <w:rFonts w:eastAsiaTheme="majorEastAsia" w:cstheme="minorHAnsi"/>
                    <w:sz w:val="32"/>
                    <w:szCs w:val="32"/>
                  </w:rPr>
                </w:pPr>
                <w:r>
                  <w:rPr>
                    <w:rFonts w:eastAsiaTheme="majorEastAsia" w:cstheme="minorHAnsi"/>
                    <w:sz w:val="32"/>
                    <w:szCs w:val="32"/>
                  </w:rPr>
                  <w:t>Thomas Fisk</w:t>
                </w:r>
              </w:p>
              <w:p w:rsidR="00BB0C88" w:rsidRDefault="00BB0C88">
                <w:pPr>
                  <w:pStyle w:val="NoSpacing"/>
                  <w:spacing w:line="276" w:lineRule="auto"/>
                  <w:jc w:val="left"/>
                  <w:rPr>
                    <w:rFonts w:eastAsiaTheme="majorEastAsia" w:cstheme="minorHAnsi"/>
                    <w:sz w:val="32"/>
                    <w:szCs w:val="32"/>
                  </w:rPr>
                </w:pPr>
                <w:r>
                  <w:rPr>
                    <w:rFonts w:eastAsiaTheme="majorEastAsia" w:cstheme="minorHAnsi"/>
                    <w:sz w:val="32"/>
                    <w:szCs w:val="32"/>
                  </w:rPr>
                  <w:t>Alexis Shaw</w:t>
                </w:r>
              </w:p>
              <w:p w:rsidR="00BB0C88" w:rsidRDefault="00BB0C88">
                <w:pPr>
                  <w:pStyle w:val="NoSpacing"/>
                  <w:spacing w:line="276" w:lineRule="auto"/>
                  <w:jc w:val="left"/>
                  <w:rPr>
                    <w:rFonts w:eastAsiaTheme="majorEastAsia" w:cstheme="minorHAnsi"/>
                    <w:sz w:val="32"/>
                    <w:szCs w:val="32"/>
                  </w:rPr>
                </w:pPr>
                <w:r>
                  <w:rPr>
                    <w:rFonts w:eastAsiaTheme="majorEastAsia" w:cstheme="minorHAnsi"/>
                    <w:sz w:val="32"/>
                    <w:szCs w:val="32"/>
                  </w:rPr>
                  <w:t>Thien Nguyen</w:t>
                </w:r>
              </w:p>
              <w:p w:rsidR="003130BB" w:rsidRDefault="003130BB">
                <w:pPr>
                  <w:pStyle w:val="NoSpacing"/>
                  <w:spacing w:line="276" w:lineRule="auto"/>
                  <w:jc w:val="left"/>
                  <w:rPr>
                    <w:rFonts w:eastAsiaTheme="majorEastAsia" w:cstheme="minorHAnsi"/>
                    <w:sz w:val="32"/>
                    <w:szCs w:val="32"/>
                  </w:rPr>
                </w:pPr>
              </w:p>
              <w:p w:rsidR="007452A8" w:rsidRDefault="007452A8">
                <w:pPr>
                  <w:pStyle w:val="NoSpacing"/>
                  <w:spacing w:line="276" w:lineRule="auto"/>
                  <w:jc w:val="left"/>
                  <w:rPr>
                    <w:rFonts w:eastAsiaTheme="majorEastAsia" w:cstheme="minorHAnsi"/>
                    <w:b/>
                    <w:sz w:val="32"/>
                    <w:szCs w:val="32"/>
                  </w:rPr>
                </w:pPr>
                <w:r>
                  <w:rPr>
                    <w:rFonts w:eastAsiaTheme="majorEastAsia" w:cstheme="minorHAnsi"/>
                    <w:b/>
                    <w:sz w:val="32"/>
                    <w:szCs w:val="32"/>
                  </w:rPr>
                  <w:t>Date:</w:t>
                </w:r>
              </w:p>
            </w:tc>
          </w:tr>
          <w:tr w:rsidR="007452A8" w:rsidTr="007452A8">
            <w:trPr>
              <w:trHeight w:val="360"/>
              <w:jc w:val="center"/>
            </w:trPr>
            <w:tc>
              <w:tcPr>
                <w:tcW w:w="5000" w:type="pct"/>
                <w:vAlign w:val="center"/>
                <w:hideMark/>
              </w:tcPr>
              <w:p w:rsidR="007452A8" w:rsidRDefault="006A108E" w:rsidP="006A108E">
                <w:pPr>
                  <w:pStyle w:val="NoSpacing"/>
                  <w:spacing w:line="276" w:lineRule="auto"/>
                  <w:jc w:val="left"/>
                  <w:rPr>
                    <w:rFonts w:cstheme="minorHAnsi"/>
                    <w:bCs/>
                    <w:sz w:val="32"/>
                    <w:szCs w:val="32"/>
                  </w:rPr>
                </w:pPr>
                <w:r>
                  <w:rPr>
                    <w:rFonts w:cstheme="minorHAnsi"/>
                    <w:bCs/>
                    <w:sz w:val="32"/>
                    <w:szCs w:val="32"/>
                  </w:rPr>
                  <w:t>December</w:t>
                </w:r>
                <w:r w:rsidR="00BB0C88">
                  <w:rPr>
                    <w:rFonts w:cstheme="minorHAnsi"/>
                    <w:bCs/>
                    <w:sz w:val="32"/>
                    <w:szCs w:val="32"/>
                  </w:rPr>
                  <w:t xml:space="preserve"> </w:t>
                </w:r>
                <w:r>
                  <w:rPr>
                    <w:rFonts w:cstheme="minorHAnsi"/>
                    <w:bCs/>
                    <w:sz w:val="32"/>
                    <w:szCs w:val="32"/>
                  </w:rPr>
                  <w:t>1</w:t>
                </w:r>
                <w:r w:rsidRPr="006A108E">
                  <w:rPr>
                    <w:rFonts w:cstheme="minorHAnsi"/>
                    <w:bCs/>
                    <w:sz w:val="32"/>
                    <w:szCs w:val="32"/>
                    <w:vertAlign w:val="superscript"/>
                  </w:rPr>
                  <w:t>st</w:t>
                </w:r>
                <w:r>
                  <w:rPr>
                    <w:rFonts w:cstheme="minorHAnsi"/>
                    <w:bCs/>
                    <w:sz w:val="32"/>
                    <w:szCs w:val="32"/>
                  </w:rPr>
                  <w:t xml:space="preserve"> </w:t>
                </w:r>
                <w:bookmarkStart w:id="2" w:name="_GoBack"/>
                <w:bookmarkEnd w:id="2"/>
                <w:r w:rsidR="003130BB">
                  <w:rPr>
                    <w:rFonts w:cstheme="minorHAnsi"/>
                    <w:bCs/>
                    <w:sz w:val="32"/>
                    <w:szCs w:val="32"/>
                  </w:rPr>
                  <w:t>, 2011</w:t>
                </w:r>
              </w:p>
            </w:tc>
          </w:tr>
        </w:tbl>
        <w:p w:rsidR="007452A8" w:rsidRDefault="007452A8" w:rsidP="007452A8">
          <w:pPr>
            <w:rPr>
              <w:rFonts w:cstheme="minorHAnsi"/>
            </w:rPr>
          </w:pPr>
        </w:p>
        <w:p w:rsidR="007452A8" w:rsidRDefault="00220D30" w:rsidP="007452A8">
          <w:pPr>
            <w:jc w:val="left"/>
            <w:rPr>
              <w:rFonts w:eastAsia="Times New Roman" w:cstheme="minorHAnsi"/>
              <w:lang w:eastAsia="en-AU"/>
            </w:rPr>
          </w:pPr>
        </w:p>
      </w:sdtContent>
    </w:sdt>
    <w:p w:rsidR="007F0882" w:rsidRDefault="007452A8" w:rsidP="007F0882">
      <w:pPr>
        <w:pStyle w:val="Heading1"/>
        <w:rPr>
          <w:rFonts w:eastAsia="Times New Roman"/>
          <w:lang w:eastAsia="en-AU"/>
        </w:rPr>
      </w:pPr>
      <w:r>
        <w:rPr>
          <w:rFonts w:eastAsia="Times New Roman"/>
          <w:lang w:eastAsia="en-AU"/>
        </w:rPr>
        <w:br w:type="page"/>
      </w:r>
      <w:bookmarkStart w:id="3" w:name="_Toc304642597"/>
      <w:bookmarkStart w:id="4" w:name="_Toc310504168"/>
      <w:bookmarkEnd w:id="1"/>
      <w:bookmarkEnd w:id="0"/>
      <w:r w:rsidR="007F0882">
        <w:rPr>
          <w:rFonts w:eastAsia="Times New Roman"/>
          <w:lang w:eastAsia="en-AU"/>
        </w:rPr>
        <w:lastRenderedPageBreak/>
        <w:t>Introduction</w:t>
      </w:r>
      <w:bookmarkEnd w:id="4"/>
    </w:p>
    <w:p w:rsidR="00BB0C88" w:rsidRDefault="00BB0C88" w:rsidP="00E133B4">
      <w:pPr>
        <w:rPr>
          <w:lang w:eastAsia="en-AU"/>
        </w:rPr>
      </w:pPr>
      <w:r w:rsidRPr="00BB0C88">
        <w:rPr>
          <w:lang w:eastAsia="en-AU"/>
        </w:rPr>
        <w:t>The Battery Charge Regulator (BCR) system is an essential subsystem of the BLUEsat microsatellite. It takes power directly from the solar cells and regulates the amount of current that is supplied to the batteries and the rest of the satellite.</w:t>
      </w:r>
    </w:p>
    <w:p w:rsidR="00BB0C88" w:rsidRPr="00BB0C88" w:rsidRDefault="00BB0C88" w:rsidP="00E133B4">
      <w:pPr>
        <w:rPr>
          <w:lang w:eastAsia="en-AU"/>
        </w:rPr>
      </w:pPr>
      <w:r>
        <w:rPr>
          <w:lang w:eastAsia="en-AU"/>
        </w:rPr>
        <w:t>To date there has been no successful implementation of a Battery Charge system that would be suitable for use on the satellite in Low Earth Orbit. Previous implementations of the BCR have either lacked consideration for the performance of the Solar Panel array in Low Earth Orbit (LEO) or failed performance under testing with battery cells and the load that the electrical systems on the satellite would provide.</w:t>
      </w:r>
    </w:p>
    <w:p w:rsidR="00E133B4" w:rsidRDefault="00BB0C88" w:rsidP="00E133B4">
      <w:pPr>
        <w:rPr>
          <w:lang w:eastAsia="en-AU"/>
        </w:rPr>
      </w:pPr>
      <w:r>
        <w:rPr>
          <w:lang w:eastAsia="en-AU"/>
        </w:rPr>
        <w:t xml:space="preserve">Poor documentation has required that the current generation of BLUEsat (as of November 2011) rely on word-of-mouth to piece together the machinations behind the designs of previous prototypes of the BCR and therefore to properly analyse why they failed. This document is an attempt to consolidate all previous information about the Battery Charge </w:t>
      </w:r>
      <w:r w:rsidR="00E133B4">
        <w:rPr>
          <w:lang w:eastAsia="en-AU"/>
        </w:rPr>
        <w:t>Regulators and put forward a new design for scrutiny.</w:t>
      </w:r>
    </w:p>
    <w:p w:rsidR="00FF6617" w:rsidRDefault="00E133B4" w:rsidP="00E133B4">
      <w:pPr>
        <w:pStyle w:val="Heading1"/>
        <w:rPr>
          <w:lang w:eastAsia="en-AU"/>
        </w:rPr>
      </w:pPr>
      <w:bookmarkStart w:id="5" w:name="_Toc310504169"/>
      <w:r>
        <w:rPr>
          <w:lang w:eastAsia="en-AU"/>
        </w:rPr>
        <w:t>Table of Contents</w:t>
      </w:r>
      <w:bookmarkEnd w:id="5"/>
    </w:p>
    <w:p w:rsidR="00FF6617" w:rsidRDefault="00FF6617">
      <w:pPr>
        <w:pStyle w:val="TOC1"/>
        <w:tabs>
          <w:tab w:val="left" w:pos="440"/>
          <w:tab w:val="right" w:leader="dot" w:pos="9016"/>
        </w:tabs>
        <w:rPr>
          <w:rFonts w:eastAsiaTheme="minorEastAsia"/>
          <w:noProof/>
          <w:lang w:eastAsia="en-AU"/>
        </w:rPr>
      </w:pPr>
      <w:r>
        <w:rPr>
          <w:lang w:eastAsia="en-AU"/>
        </w:rPr>
        <w:fldChar w:fldCharType="begin"/>
      </w:r>
      <w:r>
        <w:rPr>
          <w:lang w:eastAsia="en-AU"/>
        </w:rPr>
        <w:instrText xml:space="preserve"> TOC \o "1-2" \h \z \u </w:instrText>
      </w:r>
      <w:r>
        <w:rPr>
          <w:lang w:eastAsia="en-AU"/>
        </w:rPr>
        <w:fldChar w:fldCharType="separate"/>
      </w:r>
      <w:hyperlink w:anchor="_Toc310504168" w:history="1">
        <w:r w:rsidRPr="00B365AB">
          <w:rPr>
            <w:rStyle w:val="Hyperlink"/>
            <w:rFonts w:eastAsia="Times New Roman"/>
            <w:noProof/>
            <w:lang w:eastAsia="en-AU"/>
          </w:rPr>
          <w:t>1</w:t>
        </w:r>
        <w:r>
          <w:rPr>
            <w:rFonts w:eastAsiaTheme="minorEastAsia"/>
            <w:noProof/>
            <w:lang w:eastAsia="en-AU"/>
          </w:rPr>
          <w:tab/>
        </w:r>
        <w:r w:rsidRPr="00B365AB">
          <w:rPr>
            <w:rStyle w:val="Hyperlink"/>
            <w:rFonts w:eastAsia="Times New Roman"/>
            <w:noProof/>
            <w:lang w:eastAsia="en-AU"/>
          </w:rPr>
          <w:t>Introduction</w:t>
        </w:r>
        <w:r>
          <w:rPr>
            <w:noProof/>
            <w:webHidden/>
          </w:rPr>
          <w:tab/>
        </w:r>
        <w:r>
          <w:rPr>
            <w:noProof/>
            <w:webHidden/>
          </w:rPr>
          <w:fldChar w:fldCharType="begin"/>
        </w:r>
        <w:r>
          <w:rPr>
            <w:noProof/>
            <w:webHidden/>
          </w:rPr>
          <w:instrText xml:space="preserve"> PAGEREF _Toc310504168 \h </w:instrText>
        </w:r>
        <w:r>
          <w:rPr>
            <w:noProof/>
            <w:webHidden/>
          </w:rPr>
        </w:r>
        <w:r>
          <w:rPr>
            <w:noProof/>
            <w:webHidden/>
          </w:rPr>
          <w:fldChar w:fldCharType="separate"/>
        </w:r>
        <w:r>
          <w:rPr>
            <w:noProof/>
            <w:webHidden/>
          </w:rPr>
          <w:t>1</w:t>
        </w:r>
        <w:r>
          <w:rPr>
            <w:noProof/>
            <w:webHidden/>
          </w:rPr>
          <w:fldChar w:fldCharType="end"/>
        </w:r>
      </w:hyperlink>
    </w:p>
    <w:p w:rsidR="00FF6617" w:rsidRDefault="00FF6617">
      <w:pPr>
        <w:pStyle w:val="TOC1"/>
        <w:tabs>
          <w:tab w:val="left" w:pos="440"/>
          <w:tab w:val="right" w:leader="dot" w:pos="9016"/>
        </w:tabs>
        <w:rPr>
          <w:rFonts w:eastAsiaTheme="minorEastAsia"/>
          <w:noProof/>
          <w:lang w:eastAsia="en-AU"/>
        </w:rPr>
      </w:pPr>
      <w:hyperlink w:anchor="_Toc310504169" w:history="1">
        <w:r w:rsidRPr="00B365AB">
          <w:rPr>
            <w:rStyle w:val="Hyperlink"/>
            <w:noProof/>
            <w:lang w:eastAsia="en-AU"/>
          </w:rPr>
          <w:t>2</w:t>
        </w:r>
        <w:r>
          <w:rPr>
            <w:rFonts w:eastAsiaTheme="minorEastAsia"/>
            <w:noProof/>
            <w:lang w:eastAsia="en-AU"/>
          </w:rPr>
          <w:tab/>
        </w:r>
        <w:r w:rsidRPr="00B365AB">
          <w:rPr>
            <w:rStyle w:val="Hyperlink"/>
            <w:noProof/>
            <w:lang w:eastAsia="en-AU"/>
          </w:rPr>
          <w:t>Table of Contents</w:t>
        </w:r>
        <w:r>
          <w:rPr>
            <w:noProof/>
            <w:webHidden/>
          </w:rPr>
          <w:tab/>
        </w:r>
        <w:r>
          <w:rPr>
            <w:noProof/>
            <w:webHidden/>
          </w:rPr>
          <w:fldChar w:fldCharType="begin"/>
        </w:r>
        <w:r>
          <w:rPr>
            <w:noProof/>
            <w:webHidden/>
          </w:rPr>
          <w:instrText xml:space="preserve"> PAGEREF _Toc310504169 \h </w:instrText>
        </w:r>
        <w:r>
          <w:rPr>
            <w:noProof/>
            <w:webHidden/>
          </w:rPr>
        </w:r>
        <w:r>
          <w:rPr>
            <w:noProof/>
            <w:webHidden/>
          </w:rPr>
          <w:fldChar w:fldCharType="separate"/>
        </w:r>
        <w:r>
          <w:rPr>
            <w:noProof/>
            <w:webHidden/>
          </w:rPr>
          <w:t>1</w:t>
        </w:r>
        <w:r>
          <w:rPr>
            <w:noProof/>
            <w:webHidden/>
          </w:rPr>
          <w:fldChar w:fldCharType="end"/>
        </w:r>
      </w:hyperlink>
    </w:p>
    <w:p w:rsidR="00FF6617" w:rsidRDefault="00FF6617">
      <w:pPr>
        <w:pStyle w:val="TOC1"/>
        <w:tabs>
          <w:tab w:val="left" w:pos="440"/>
          <w:tab w:val="right" w:leader="dot" w:pos="9016"/>
        </w:tabs>
        <w:rPr>
          <w:rFonts w:eastAsiaTheme="minorEastAsia"/>
          <w:noProof/>
          <w:lang w:eastAsia="en-AU"/>
        </w:rPr>
      </w:pPr>
      <w:hyperlink w:anchor="_Toc310504170" w:history="1">
        <w:r w:rsidRPr="00B365AB">
          <w:rPr>
            <w:rStyle w:val="Hyperlink"/>
            <w:noProof/>
            <w:lang w:eastAsia="en-AU"/>
          </w:rPr>
          <w:t>3</w:t>
        </w:r>
        <w:r>
          <w:rPr>
            <w:rFonts w:eastAsiaTheme="minorEastAsia"/>
            <w:noProof/>
            <w:lang w:eastAsia="en-AU"/>
          </w:rPr>
          <w:tab/>
        </w:r>
        <w:r w:rsidRPr="00B365AB">
          <w:rPr>
            <w:rStyle w:val="Hyperlink"/>
            <w:noProof/>
            <w:lang w:eastAsia="en-AU"/>
          </w:rPr>
          <w:t>Specifications</w:t>
        </w:r>
        <w:r>
          <w:rPr>
            <w:noProof/>
            <w:webHidden/>
          </w:rPr>
          <w:tab/>
        </w:r>
        <w:r>
          <w:rPr>
            <w:noProof/>
            <w:webHidden/>
          </w:rPr>
          <w:fldChar w:fldCharType="begin"/>
        </w:r>
        <w:r>
          <w:rPr>
            <w:noProof/>
            <w:webHidden/>
          </w:rPr>
          <w:instrText xml:space="preserve"> PAGEREF _Toc310504170 \h </w:instrText>
        </w:r>
        <w:r>
          <w:rPr>
            <w:noProof/>
            <w:webHidden/>
          </w:rPr>
        </w:r>
        <w:r>
          <w:rPr>
            <w:noProof/>
            <w:webHidden/>
          </w:rPr>
          <w:fldChar w:fldCharType="separate"/>
        </w:r>
        <w:r>
          <w:rPr>
            <w:noProof/>
            <w:webHidden/>
          </w:rPr>
          <w:t>2</w:t>
        </w:r>
        <w:r>
          <w:rPr>
            <w:noProof/>
            <w:webHidden/>
          </w:rPr>
          <w:fldChar w:fldCharType="end"/>
        </w:r>
      </w:hyperlink>
    </w:p>
    <w:p w:rsidR="00FF6617" w:rsidRDefault="00FF6617">
      <w:pPr>
        <w:pStyle w:val="TOC1"/>
        <w:tabs>
          <w:tab w:val="left" w:pos="440"/>
          <w:tab w:val="right" w:leader="dot" w:pos="9016"/>
        </w:tabs>
        <w:rPr>
          <w:rFonts w:eastAsiaTheme="minorEastAsia"/>
          <w:noProof/>
          <w:lang w:eastAsia="en-AU"/>
        </w:rPr>
      </w:pPr>
      <w:hyperlink w:anchor="_Toc310504171" w:history="1">
        <w:r w:rsidRPr="00B365AB">
          <w:rPr>
            <w:rStyle w:val="Hyperlink"/>
            <w:noProof/>
            <w:lang w:eastAsia="en-AU"/>
          </w:rPr>
          <w:t>4</w:t>
        </w:r>
        <w:r>
          <w:rPr>
            <w:rFonts w:eastAsiaTheme="minorEastAsia"/>
            <w:noProof/>
            <w:lang w:eastAsia="en-AU"/>
          </w:rPr>
          <w:tab/>
        </w:r>
        <w:r w:rsidRPr="00B365AB">
          <w:rPr>
            <w:rStyle w:val="Hyperlink"/>
            <w:noProof/>
            <w:lang w:eastAsia="en-AU"/>
          </w:rPr>
          <w:t>Previous Designs</w:t>
        </w:r>
        <w:r>
          <w:rPr>
            <w:noProof/>
            <w:webHidden/>
          </w:rPr>
          <w:tab/>
        </w:r>
        <w:r>
          <w:rPr>
            <w:noProof/>
            <w:webHidden/>
          </w:rPr>
          <w:fldChar w:fldCharType="begin"/>
        </w:r>
        <w:r>
          <w:rPr>
            <w:noProof/>
            <w:webHidden/>
          </w:rPr>
          <w:instrText xml:space="preserve"> PAGEREF _Toc310504171 \h </w:instrText>
        </w:r>
        <w:r>
          <w:rPr>
            <w:noProof/>
            <w:webHidden/>
          </w:rPr>
        </w:r>
        <w:r>
          <w:rPr>
            <w:noProof/>
            <w:webHidden/>
          </w:rPr>
          <w:fldChar w:fldCharType="separate"/>
        </w:r>
        <w:r>
          <w:rPr>
            <w:noProof/>
            <w:webHidden/>
          </w:rPr>
          <w:t>3</w:t>
        </w:r>
        <w:r>
          <w:rPr>
            <w:noProof/>
            <w:webHidden/>
          </w:rPr>
          <w:fldChar w:fldCharType="end"/>
        </w:r>
      </w:hyperlink>
    </w:p>
    <w:p w:rsidR="00FF6617" w:rsidRDefault="00FF6617">
      <w:pPr>
        <w:pStyle w:val="TOC2"/>
        <w:tabs>
          <w:tab w:val="left" w:pos="880"/>
          <w:tab w:val="right" w:leader="dot" w:pos="9016"/>
        </w:tabs>
        <w:rPr>
          <w:rFonts w:eastAsiaTheme="minorEastAsia"/>
          <w:noProof/>
          <w:lang w:eastAsia="en-AU"/>
        </w:rPr>
      </w:pPr>
      <w:hyperlink w:anchor="_Toc310504172" w:history="1">
        <w:r w:rsidRPr="00B365AB">
          <w:rPr>
            <w:rStyle w:val="Hyperlink"/>
            <w:noProof/>
            <w:lang w:eastAsia="en-AU"/>
          </w:rPr>
          <w:t>4.1</w:t>
        </w:r>
        <w:r>
          <w:rPr>
            <w:rFonts w:eastAsiaTheme="minorEastAsia"/>
            <w:noProof/>
            <w:lang w:eastAsia="en-AU"/>
          </w:rPr>
          <w:tab/>
        </w:r>
        <w:r w:rsidRPr="00B365AB">
          <w:rPr>
            <w:rStyle w:val="Hyperlink"/>
            <w:noProof/>
            <w:lang w:eastAsia="en-AU"/>
          </w:rPr>
          <w:t>The QL3060 FPGA and BQ2004E Charge Regulator</w:t>
        </w:r>
        <w:r>
          <w:rPr>
            <w:noProof/>
            <w:webHidden/>
          </w:rPr>
          <w:tab/>
        </w:r>
        <w:r>
          <w:rPr>
            <w:noProof/>
            <w:webHidden/>
          </w:rPr>
          <w:fldChar w:fldCharType="begin"/>
        </w:r>
        <w:r>
          <w:rPr>
            <w:noProof/>
            <w:webHidden/>
          </w:rPr>
          <w:instrText xml:space="preserve"> PAGEREF _Toc310504172 \h </w:instrText>
        </w:r>
        <w:r>
          <w:rPr>
            <w:noProof/>
            <w:webHidden/>
          </w:rPr>
        </w:r>
        <w:r>
          <w:rPr>
            <w:noProof/>
            <w:webHidden/>
          </w:rPr>
          <w:fldChar w:fldCharType="separate"/>
        </w:r>
        <w:r>
          <w:rPr>
            <w:noProof/>
            <w:webHidden/>
          </w:rPr>
          <w:t>3</w:t>
        </w:r>
        <w:r>
          <w:rPr>
            <w:noProof/>
            <w:webHidden/>
          </w:rPr>
          <w:fldChar w:fldCharType="end"/>
        </w:r>
      </w:hyperlink>
    </w:p>
    <w:p w:rsidR="00FF6617" w:rsidRDefault="00FF6617">
      <w:pPr>
        <w:pStyle w:val="TOC2"/>
        <w:tabs>
          <w:tab w:val="left" w:pos="880"/>
          <w:tab w:val="right" w:leader="dot" w:pos="9016"/>
        </w:tabs>
        <w:rPr>
          <w:rFonts w:eastAsiaTheme="minorEastAsia"/>
          <w:noProof/>
          <w:lang w:eastAsia="en-AU"/>
        </w:rPr>
      </w:pPr>
      <w:hyperlink w:anchor="_Toc310504173" w:history="1">
        <w:r w:rsidRPr="00B365AB">
          <w:rPr>
            <w:rStyle w:val="Hyperlink"/>
            <w:noProof/>
            <w:lang w:eastAsia="en-AU"/>
          </w:rPr>
          <w:t>4.2</w:t>
        </w:r>
        <w:r>
          <w:rPr>
            <w:rFonts w:eastAsiaTheme="minorEastAsia"/>
            <w:noProof/>
            <w:lang w:eastAsia="en-AU"/>
          </w:rPr>
          <w:tab/>
        </w:r>
        <w:r w:rsidRPr="00B365AB">
          <w:rPr>
            <w:rStyle w:val="Hyperlink"/>
            <w:noProof/>
            <w:lang w:eastAsia="en-AU"/>
          </w:rPr>
          <w:t>The LT3652 Power Tracker and Battery Charger</w:t>
        </w:r>
        <w:r>
          <w:rPr>
            <w:noProof/>
            <w:webHidden/>
          </w:rPr>
          <w:tab/>
        </w:r>
        <w:r>
          <w:rPr>
            <w:noProof/>
            <w:webHidden/>
          </w:rPr>
          <w:fldChar w:fldCharType="begin"/>
        </w:r>
        <w:r>
          <w:rPr>
            <w:noProof/>
            <w:webHidden/>
          </w:rPr>
          <w:instrText xml:space="preserve"> PAGEREF _Toc310504173 \h </w:instrText>
        </w:r>
        <w:r>
          <w:rPr>
            <w:noProof/>
            <w:webHidden/>
          </w:rPr>
        </w:r>
        <w:r>
          <w:rPr>
            <w:noProof/>
            <w:webHidden/>
          </w:rPr>
          <w:fldChar w:fldCharType="separate"/>
        </w:r>
        <w:r>
          <w:rPr>
            <w:noProof/>
            <w:webHidden/>
          </w:rPr>
          <w:t>3</w:t>
        </w:r>
        <w:r>
          <w:rPr>
            <w:noProof/>
            <w:webHidden/>
          </w:rPr>
          <w:fldChar w:fldCharType="end"/>
        </w:r>
      </w:hyperlink>
    </w:p>
    <w:p w:rsidR="00FF6617" w:rsidRDefault="00FF6617">
      <w:pPr>
        <w:pStyle w:val="TOC1"/>
        <w:tabs>
          <w:tab w:val="left" w:pos="440"/>
          <w:tab w:val="right" w:leader="dot" w:pos="9016"/>
        </w:tabs>
        <w:rPr>
          <w:rFonts w:eastAsiaTheme="minorEastAsia"/>
          <w:noProof/>
          <w:lang w:eastAsia="en-AU"/>
        </w:rPr>
      </w:pPr>
      <w:hyperlink w:anchor="_Toc310504174" w:history="1">
        <w:r w:rsidRPr="00B365AB">
          <w:rPr>
            <w:rStyle w:val="Hyperlink"/>
            <w:noProof/>
            <w:lang w:eastAsia="en-AU"/>
          </w:rPr>
          <w:t>5</w:t>
        </w:r>
        <w:r>
          <w:rPr>
            <w:rFonts w:eastAsiaTheme="minorEastAsia"/>
            <w:noProof/>
            <w:lang w:eastAsia="en-AU"/>
          </w:rPr>
          <w:tab/>
        </w:r>
        <w:r w:rsidRPr="00B365AB">
          <w:rPr>
            <w:rStyle w:val="Hyperlink"/>
            <w:noProof/>
            <w:lang w:eastAsia="en-AU"/>
          </w:rPr>
          <w:t>Proposed Design</w:t>
        </w:r>
        <w:r>
          <w:rPr>
            <w:noProof/>
            <w:webHidden/>
          </w:rPr>
          <w:tab/>
        </w:r>
        <w:r>
          <w:rPr>
            <w:noProof/>
            <w:webHidden/>
          </w:rPr>
          <w:fldChar w:fldCharType="begin"/>
        </w:r>
        <w:r>
          <w:rPr>
            <w:noProof/>
            <w:webHidden/>
          </w:rPr>
          <w:instrText xml:space="preserve"> PAGEREF _Toc310504174 \h </w:instrText>
        </w:r>
        <w:r>
          <w:rPr>
            <w:noProof/>
            <w:webHidden/>
          </w:rPr>
        </w:r>
        <w:r>
          <w:rPr>
            <w:noProof/>
            <w:webHidden/>
          </w:rPr>
          <w:fldChar w:fldCharType="separate"/>
        </w:r>
        <w:r>
          <w:rPr>
            <w:noProof/>
            <w:webHidden/>
          </w:rPr>
          <w:t>5</w:t>
        </w:r>
        <w:r>
          <w:rPr>
            <w:noProof/>
            <w:webHidden/>
          </w:rPr>
          <w:fldChar w:fldCharType="end"/>
        </w:r>
      </w:hyperlink>
    </w:p>
    <w:p w:rsidR="00FF6617" w:rsidRDefault="00FF6617">
      <w:pPr>
        <w:pStyle w:val="TOC2"/>
        <w:tabs>
          <w:tab w:val="left" w:pos="880"/>
          <w:tab w:val="right" w:leader="dot" w:pos="9016"/>
        </w:tabs>
        <w:rPr>
          <w:rFonts w:eastAsiaTheme="minorEastAsia"/>
          <w:noProof/>
          <w:lang w:eastAsia="en-AU"/>
        </w:rPr>
      </w:pPr>
      <w:hyperlink w:anchor="_Toc310504175" w:history="1">
        <w:r w:rsidRPr="00B365AB">
          <w:rPr>
            <w:rStyle w:val="Hyperlink"/>
            <w:noProof/>
            <w:lang w:eastAsia="en-AU"/>
          </w:rPr>
          <w:t>5.1</w:t>
        </w:r>
        <w:r>
          <w:rPr>
            <w:rFonts w:eastAsiaTheme="minorEastAsia"/>
            <w:noProof/>
            <w:lang w:eastAsia="en-AU"/>
          </w:rPr>
          <w:tab/>
        </w:r>
        <w:r w:rsidRPr="00B365AB">
          <w:rPr>
            <w:rStyle w:val="Hyperlink"/>
            <w:noProof/>
            <w:lang w:eastAsia="en-AU"/>
          </w:rPr>
          <w:t>System Level Layout</w:t>
        </w:r>
        <w:r>
          <w:rPr>
            <w:noProof/>
            <w:webHidden/>
          </w:rPr>
          <w:tab/>
        </w:r>
        <w:r>
          <w:rPr>
            <w:noProof/>
            <w:webHidden/>
          </w:rPr>
          <w:fldChar w:fldCharType="begin"/>
        </w:r>
        <w:r>
          <w:rPr>
            <w:noProof/>
            <w:webHidden/>
          </w:rPr>
          <w:instrText xml:space="preserve"> PAGEREF _Toc310504175 \h </w:instrText>
        </w:r>
        <w:r>
          <w:rPr>
            <w:noProof/>
            <w:webHidden/>
          </w:rPr>
        </w:r>
        <w:r>
          <w:rPr>
            <w:noProof/>
            <w:webHidden/>
          </w:rPr>
          <w:fldChar w:fldCharType="separate"/>
        </w:r>
        <w:r>
          <w:rPr>
            <w:noProof/>
            <w:webHidden/>
          </w:rPr>
          <w:t>5</w:t>
        </w:r>
        <w:r>
          <w:rPr>
            <w:noProof/>
            <w:webHidden/>
          </w:rPr>
          <w:fldChar w:fldCharType="end"/>
        </w:r>
      </w:hyperlink>
    </w:p>
    <w:p w:rsidR="00FF6617" w:rsidRDefault="00FF6617">
      <w:pPr>
        <w:pStyle w:val="TOC2"/>
        <w:tabs>
          <w:tab w:val="left" w:pos="880"/>
          <w:tab w:val="right" w:leader="dot" w:pos="9016"/>
        </w:tabs>
        <w:rPr>
          <w:rFonts w:eastAsiaTheme="minorEastAsia"/>
          <w:noProof/>
          <w:lang w:eastAsia="en-AU"/>
        </w:rPr>
      </w:pPr>
      <w:hyperlink w:anchor="_Toc310504176" w:history="1">
        <w:r w:rsidRPr="00B365AB">
          <w:rPr>
            <w:rStyle w:val="Hyperlink"/>
            <w:noProof/>
            <w:lang w:eastAsia="en-AU"/>
          </w:rPr>
          <w:t>5.2</w:t>
        </w:r>
        <w:r>
          <w:rPr>
            <w:rFonts w:eastAsiaTheme="minorEastAsia"/>
            <w:noProof/>
            <w:lang w:eastAsia="en-AU"/>
          </w:rPr>
          <w:tab/>
        </w:r>
        <w:r w:rsidRPr="00B365AB">
          <w:rPr>
            <w:rStyle w:val="Hyperlink"/>
            <w:noProof/>
            <w:lang w:eastAsia="en-AU"/>
          </w:rPr>
          <w:t>Battery Charger Circuit</w:t>
        </w:r>
        <w:r>
          <w:rPr>
            <w:noProof/>
            <w:webHidden/>
          </w:rPr>
          <w:tab/>
        </w:r>
        <w:r>
          <w:rPr>
            <w:noProof/>
            <w:webHidden/>
          </w:rPr>
          <w:fldChar w:fldCharType="begin"/>
        </w:r>
        <w:r>
          <w:rPr>
            <w:noProof/>
            <w:webHidden/>
          </w:rPr>
          <w:instrText xml:space="preserve"> PAGEREF _Toc310504176 \h </w:instrText>
        </w:r>
        <w:r>
          <w:rPr>
            <w:noProof/>
            <w:webHidden/>
          </w:rPr>
        </w:r>
        <w:r>
          <w:rPr>
            <w:noProof/>
            <w:webHidden/>
          </w:rPr>
          <w:fldChar w:fldCharType="separate"/>
        </w:r>
        <w:r>
          <w:rPr>
            <w:noProof/>
            <w:webHidden/>
          </w:rPr>
          <w:t>6</w:t>
        </w:r>
        <w:r>
          <w:rPr>
            <w:noProof/>
            <w:webHidden/>
          </w:rPr>
          <w:fldChar w:fldCharType="end"/>
        </w:r>
      </w:hyperlink>
    </w:p>
    <w:p w:rsidR="00FF6617" w:rsidRDefault="00FF6617">
      <w:pPr>
        <w:pStyle w:val="TOC2"/>
        <w:tabs>
          <w:tab w:val="left" w:pos="880"/>
          <w:tab w:val="right" w:leader="dot" w:pos="9016"/>
        </w:tabs>
        <w:rPr>
          <w:rFonts w:eastAsiaTheme="minorEastAsia"/>
          <w:noProof/>
          <w:lang w:eastAsia="en-AU"/>
        </w:rPr>
      </w:pPr>
      <w:hyperlink w:anchor="_Toc310504177" w:history="1">
        <w:r w:rsidRPr="00B365AB">
          <w:rPr>
            <w:rStyle w:val="Hyperlink"/>
            <w:noProof/>
            <w:lang w:eastAsia="en-AU"/>
          </w:rPr>
          <w:t>5.3</w:t>
        </w:r>
        <w:r>
          <w:rPr>
            <w:rFonts w:eastAsiaTheme="minorEastAsia"/>
            <w:noProof/>
            <w:lang w:eastAsia="en-AU"/>
          </w:rPr>
          <w:tab/>
        </w:r>
        <w:r w:rsidRPr="00B365AB">
          <w:rPr>
            <w:rStyle w:val="Hyperlink"/>
            <w:noProof/>
            <w:lang w:eastAsia="en-AU"/>
          </w:rPr>
          <w:t>Maximum Power Point Tracker (MPPT)</w:t>
        </w:r>
        <w:r>
          <w:rPr>
            <w:noProof/>
            <w:webHidden/>
          </w:rPr>
          <w:tab/>
        </w:r>
        <w:r>
          <w:rPr>
            <w:noProof/>
            <w:webHidden/>
          </w:rPr>
          <w:fldChar w:fldCharType="begin"/>
        </w:r>
        <w:r>
          <w:rPr>
            <w:noProof/>
            <w:webHidden/>
          </w:rPr>
          <w:instrText xml:space="preserve"> PAGEREF _Toc310504177 \h </w:instrText>
        </w:r>
        <w:r>
          <w:rPr>
            <w:noProof/>
            <w:webHidden/>
          </w:rPr>
        </w:r>
        <w:r>
          <w:rPr>
            <w:noProof/>
            <w:webHidden/>
          </w:rPr>
          <w:fldChar w:fldCharType="separate"/>
        </w:r>
        <w:r>
          <w:rPr>
            <w:noProof/>
            <w:webHidden/>
          </w:rPr>
          <w:t>6</w:t>
        </w:r>
        <w:r>
          <w:rPr>
            <w:noProof/>
            <w:webHidden/>
          </w:rPr>
          <w:fldChar w:fldCharType="end"/>
        </w:r>
      </w:hyperlink>
    </w:p>
    <w:p w:rsidR="00FF6617" w:rsidRDefault="00FF6617">
      <w:pPr>
        <w:pStyle w:val="TOC2"/>
        <w:tabs>
          <w:tab w:val="left" w:pos="880"/>
          <w:tab w:val="right" w:leader="dot" w:pos="9016"/>
        </w:tabs>
        <w:rPr>
          <w:rFonts w:eastAsiaTheme="minorEastAsia"/>
          <w:noProof/>
          <w:lang w:eastAsia="en-AU"/>
        </w:rPr>
      </w:pPr>
      <w:hyperlink w:anchor="_Toc310504178" w:history="1">
        <w:r w:rsidRPr="00B365AB">
          <w:rPr>
            <w:rStyle w:val="Hyperlink"/>
            <w:noProof/>
            <w:lang w:eastAsia="en-AU"/>
          </w:rPr>
          <w:t>5.4</w:t>
        </w:r>
        <w:r>
          <w:rPr>
            <w:rFonts w:eastAsiaTheme="minorEastAsia"/>
            <w:noProof/>
            <w:lang w:eastAsia="en-AU"/>
          </w:rPr>
          <w:tab/>
        </w:r>
        <w:r w:rsidRPr="00B365AB">
          <w:rPr>
            <w:rStyle w:val="Hyperlink"/>
            <w:noProof/>
            <w:lang w:eastAsia="en-AU"/>
          </w:rPr>
          <w:t>Current Progress</w:t>
        </w:r>
        <w:r>
          <w:rPr>
            <w:noProof/>
            <w:webHidden/>
          </w:rPr>
          <w:tab/>
        </w:r>
        <w:r>
          <w:rPr>
            <w:noProof/>
            <w:webHidden/>
          </w:rPr>
          <w:fldChar w:fldCharType="begin"/>
        </w:r>
        <w:r>
          <w:rPr>
            <w:noProof/>
            <w:webHidden/>
          </w:rPr>
          <w:instrText xml:space="preserve"> PAGEREF _Toc310504178 \h </w:instrText>
        </w:r>
        <w:r>
          <w:rPr>
            <w:noProof/>
            <w:webHidden/>
          </w:rPr>
        </w:r>
        <w:r>
          <w:rPr>
            <w:noProof/>
            <w:webHidden/>
          </w:rPr>
          <w:fldChar w:fldCharType="separate"/>
        </w:r>
        <w:r>
          <w:rPr>
            <w:noProof/>
            <w:webHidden/>
          </w:rPr>
          <w:t>7</w:t>
        </w:r>
        <w:r>
          <w:rPr>
            <w:noProof/>
            <w:webHidden/>
          </w:rPr>
          <w:fldChar w:fldCharType="end"/>
        </w:r>
      </w:hyperlink>
    </w:p>
    <w:p w:rsidR="00FF6617" w:rsidRDefault="00FF6617">
      <w:pPr>
        <w:pStyle w:val="TOC1"/>
        <w:tabs>
          <w:tab w:val="left" w:pos="440"/>
          <w:tab w:val="right" w:leader="dot" w:pos="9016"/>
        </w:tabs>
        <w:rPr>
          <w:rFonts w:eastAsiaTheme="minorEastAsia"/>
          <w:noProof/>
          <w:lang w:eastAsia="en-AU"/>
        </w:rPr>
      </w:pPr>
      <w:hyperlink w:anchor="_Toc310504179" w:history="1">
        <w:r w:rsidRPr="00B365AB">
          <w:rPr>
            <w:rStyle w:val="Hyperlink"/>
            <w:noProof/>
            <w:lang w:eastAsia="en-AU"/>
          </w:rPr>
          <w:t>6</w:t>
        </w:r>
        <w:r>
          <w:rPr>
            <w:rFonts w:eastAsiaTheme="minorEastAsia"/>
            <w:noProof/>
            <w:lang w:eastAsia="en-AU"/>
          </w:rPr>
          <w:tab/>
        </w:r>
        <w:r w:rsidRPr="00B365AB">
          <w:rPr>
            <w:rStyle w:val="Hyperlink"/>
            <w:noProof/>
            <w:lang w:eastAsia="en-AU"/>
          </w:rPr>
          <w:t>Conclusion</w:t>
        </w:r>
        <w:r>
          <w:rPr>
            <w:noProof/>
            <w:webHidden/>
          </w:rPr>
          <w:tab/>
        </w:r>
        <w:r>
          <w:rPr>
            <w:noProof/>
            <w:webHidden/>
          </w:rPr>
          <w:fldChar w:fldCharType="begin"/>
        </w:r>
        <w:r>
          <w:rPr>
            <w:noProof/>
            <w:webHidden/>
          </w:rPr>
          <w:instrText xml:space="preserve"> PAGEREF _Toc310504179 \h </w:instrText>
        </w:r>
        <w:r>
          <w:rPr>
            <w:noProof/>
            <w:webHidden/>
          </w:rPr>
        </w:r>
        <w:r>
          <w:rPr>
            <w:noProof/>
            <w:webHidden/>
          </w:rPr>
          <w:fldChar w:fldCharType="separate"/>
        </w:r>
        <w:r>
          <w:rPr>
            <w:noProof/>
            <w:webHidden/>
          </w:rPr>
          <w:t>8</w:t>
        </w:r>
        <w:r>
          <w:rPr>
            <w:noProof/>
            <w:webHidden/>
          </w:rPr>
          <w:fldChar w:fldCharType="end"/>
        </w:r>
      </w:hyperlink>
    </w:p>
    <w:p w:rsidR="007F0882" w:rsidRDefault="00FF6617" w:rsidP="00FF6617">
      <w:pPr>
        <w:pStyle w:val="Heading1"/>
        <w:numPr>
          <w:ilvl w:val="0"/>
          <w:numId w:val="0"/>
        </w:numPr>
        <w:ind w:left="432" w:hanging="432"/>
        <w:jc w:val="both"/>
        <w:rPr>
          <w:lang w:eastAsia="en-AU"/>
        </w:rPr>
      </w:pPr>
      <w:r>
        <w:rPr>
          <w:lang w:eastAsia="en-AU"/>
        </w:rPr>
        <w:fldChar w:fldCharType="end"/>
      </w:r>
      <w:r w:rsidR="007F0882">
        <w:rPr>
          <w:lang w:eastAsia="en-AU"/>
        </w:rPr>
        <w:br w:type="page"/>
      </w:r>
    </w:p>
    <w:p w:rsidR="007F0882" w:rsidRDefault="00E133B4" w:rsidP="007F0882">
      <w:pPr>
        <w:pStyle w:val="Heading1"/>
        <w:rPr>
          <w:lang w:eastAsia="en-AU"/>
        </w:rPr>
      </w:pPr>
      <w:bookmarkStart w:id="6" w:name="_Toc310504170"/>
      <w:r>
        <w:rPr>
          <w:lang w:eastAsia="en-AU"/>
        </w:rPr>
        <w:lastRenderedPageBreak/>
        <w:t>Specifications</w:t>
      </w:r>
      <w:bookmarkEnd w:id="6"/>
    </w:p>
    <w:p w:rsidR="00E133B4" w:rsidRDefault="00DE4A76" w:rsidP="00E133B4">
      <w:pPr>
        <w:rPr>
          <w:lang w:eastAsia="en-AU"/>
        </w:rPr>
      </w:pPr>
      <w:r>
        <w:rPr>
          <w:lang w:eastAsia="en-AU"/>
        </w:rPr>
        <w:t>The specifications required for the performance of the BCR, correct as of the publishing of this document, are as follows.</w:t>
      </w:r>
    </w:p>
    <w:p w:rsidR="00DE4A76" w:rsidRDefault="00DE4A76" w:rsidP="00E133B4">
      <w:pPr>
        <w:rPr>
          <w:lang w:eastAsia="en-AU"/>
        </w:rPr>
      </w:pPr>
      <w:r>
        <w:rPr>
          <w:lang w:eastAsia="en-AU"/>
        </w:rPr>
        <w:t>The Battery Charge Regulator must</w:t>
      </w:r>
    </w:p>
    <w:p w:rsidR="00DE4A76" w:rsidRDefault="00DE4A76" w:rsidP="00DE4A76">
      <w:pPr>
        <w:pStyle w:val="ListParagraph"/>
        <w:numPr>
          <w:ilvl w:val="0"/>
          <w:numId w:val="40"/>
        </w:numPr>
        <w:rPr>
          <w:lang w:eastAsia="en-AU"/>
        </w:rPr>
      </w:pPr>
      <w:r>
        <w:rPr>
          <w:lang w:eastAsia="en-AU"/>
        </w:rPr>
        <w:t>Properly charge a single bank of Nickel Metal Hydride (NiMH) 16.8V batteries arranged in 1.2V cells.</w:t>
      </w:r>
    </w:p>
    <w:p w:rsidR="00E133B4" w:rsidRDefault="00DE4A76" w:rsidP="00E133B4">
      <w:pPr>
        <w:pStyle w:val="ListParagraph"/>
        <w:numPr>
          <w:ilvl w:val="0"/>
          <w:numId w:val="40"/>
        </w:numPr>
        <w:rPr>
          <w:lang w:eastAsia="en-AU"/>
        </w:rPr>
      </w:pPr>
      <w:r>
        <w:rPr>
          <w:lang w:eastAsia="en-AU"/>
        </w:rPr>
        <w:t>Have the a</w:t>
      </w:r>
      <w:r w:rsidR="00E133B4">
        <w:rPr>
          <w:lang w:eastAsia="en-AU"/>
        </w:rPr>
        <w:t>bility to adjust the Maximum Power Point (MPP) individually for each solar panel or</w:t>
      </w:r>
      <w:r>
        <w:rPr>
          <w:lang w:eastAsia="en-AU"/>
        </w:rPr>
        <w:t>, alternatively each pair</w:t>
      </w:r>
      <w:r w:rsidR="00E133B4">
        <w:rPr>
          <w:lang w:eastAsia="en-AU"/>
        </w:rPr>
        <w:t xml:space="preserve"> of opposite panels.</w:t>
      </w:r>
    </w:p>
    <w:p w:rsidR="00321BC3" w:rsidRDefault="00321BC3" w:rsidP="00E133B4">
      <w:pPr>
        <w:pStyle w:val="ListParagraph"/>
        <w:numPr>
          <w:ilvl w:val="0"/>
          <w:numId w:val="40"/>
        </w:numPr>
        <w:rPr>
          <w:lang w:eastAsia="en-AU"/>
        </w:rPr>
      </w:pPr>
      <w:r>
        <w:rPr>
          <w:lang w:eastAsia="en-AU"/>
        </w:rPr>
        <w:t xml:space="preserve">Cope with </w:t>
      </w:r>
      <w:r w:rsidR="001E480A">
        <w:rPr>
          <w:lang w:eastAsia="en-AU"/>
        </w:rPr>
        <w:t xml:space="preserve">a 35V - 0V </w:t>
      </w:r>
      <w:r>
        <w:rPr>
          <w:lang w:eastAsia="en-AU"/>
        </w:rPr>
        <w:t>Voltage range</w:t>
      </w:r>
    </w:p>
    <w:p w:rsidR="00DE4A76" w:rsidRDefault="00DE4A76" w:rsidP="00DE4A76">
      <w:pPr>
        <w:pStyle w:val="ListParagraph"/>
        <w:numPr>
          <w:ilvl w:val="0"/>
          <w:numId w:val="40"/>
        </w:numPr>
        <w:rPr>
          <w:lang w:eastAsia="en-AU"/>
        </w:rPr>
      </w:pPr>
      <w:r>
        <w:rPr>
          <w:lang w:eastAsia="en-AU"/>
        </w:rPr>
        <w:t>Be able to measure voltage and current output from the solar panels independent of the main satellite Telemetry System.</w:t>
      </w:r>
    </w:p>
    <w:p w:rsidR="00E133B4" w:rsidRDefault="00DE4A76" w:rsidP="00E133B4">
      <w:pPr>
        <w:pStyle w:val="ListParagraph"/>
        <w:numPr>
          <w:ilvl w:val="0"/>
          <w:numId w:val="40"/>
        </w:numPr>
        <w:rPr>
          <w:lang w:eastAsia="en-AU"/>
        </w:rPr>
      </w:pPr>
      <w:r>
        <w:rPr>
          <w:lang w:eastAsia="en-AU"/>
        </w:rPr>
        <w:t>Is able to provide power in the event of chip failure.</w:t>
      </w:r>
    </w:p>
    <w:p w:rsidR="00E133B4" w:rsidRDefault="00DE4A76" w:rsidP="00E133B4">
      <w:pPr>
        <w:pStyle w:val="ListParagraph"/>
        <w:numPr>
          <w:ilvl w:val="0"/>
          <w:numId w:val="40"/>
        </w:numPr>
        <w:rPr>
          <w:lang w:eastAsia="en-AU"/>
        </w:rPr>
      </w:pPr>
      <w:r>
        <w:rPr>
          <w:lang w:eastAsia="en-AU"/>
        </w:rPr>
        <w:t>Can monitor and recognise its own error state</w:t>
      </w:r>
    </w:p>
    <w:p w:rsidR="00E133B4" w:rsidRDefault="00DE4A76" w:rsidP="00E133B4">
      <w:pPr>
        <w:pStyle w:val="ListParagraph"/>
        <w:numPr>
          <w:ilvl w:val="0"/>
          <w:numId w:val="40"/>
        </w:numPr>
        <w:rPr>
          <w:lang w:eastAsia="en-AU"/>
        </w:rPr>
      </w:pPr>
      <w:r>
        <w:rPr>
          <w:lang w:eastAsia="en-AU"/>
        </w:rPr>
        <w:t>Has m</w:t>
      </w:r>
      <w:r w:rsidR="00E133B4">
        <w:rPr>
          <w:lang w:eastAsia="en-AU"/>
        </w:rPr>
        <w:t>inimal ripple current (no more than 50 mV)</w:t>
      </w:r>
    </w:p>
    <w:p w:rsidR="00DE4A76" w:rsidRPr="00E133B4" w:rsidRDefault="00DE4A76" w:rsidP="00E133B4">
      <w:pPr>
        <w:pStyle w:val="ListParagraph"/>
        <w:numPr>
          <w:ilvl w:val="0"/>
          <w:numId w:val="40"/>
        </w:numPr>
        <w:rPr>
          <w:lang w:eastAsia="en-AU"/>
        </w:rPr>
      </w:pPr>
      <w:r>
        <w:rPr>
          <w:lang w:eastAsia="en-AU"/>
        </w:rPr>
        <w:t>Can ensure a controlled Satellite start-up from a state of nil charge.</w:t>
      </w:r>
    </w:p>
    <w:p w:rsidR="00E133B4" w:rsidRDefault="00E133B4" w:rsidP="00E133B4">
      <w:pPr>
        <w:rPr>
          <w:lang w:eastAsia="en-AU"/>
        </w:rPr>
      </w:pPr>
    </w:p>
    <w:p w:rsidR="00321BC3" w:rsidRDefault="00321BC3">
      <w:pPr>
        <w:jc w:val="left"/>
        <w:rPr>
          <w:rFonts w:eastAsiaTheme="majorEastAsia" w:cstheme="majorBidi"/>
          <w:b/>
          <w:bCs/>
          <w:sz w:val="44"/>
          <w:szCs w:val="28"/>
          <w:lang w:eastAsia="en-AU"/>
        </w:rPr>
      </w:pPr>
      <w:r>
        <w:rPr>
          <w:lang w:eastAsia="en-AU"/>
        </w:rPr>
        <w:br w:type="page"/>
      </w:r>
    </w:p>
    <w:p w:rsidR="00E133B4" w:rsidRPr="00E133B4" w:rsidRDefault="00E133B4" w:rsidP="00E133B4">
      <w:pPr>
        <w:pStyle w:val="Heading1"/>
        <w:rPr>
          <w:lang w:eastAsia="en-AU"/>
        </w:rPr>
      </w:pPr>
      <w:bookmarkStart w:id="7" w:name="_Toc310504171"/>
      <w:r>
        <w:rPr>
          <w:lang w:eastAsia="en-AU"/>
        </w:rPr>
        <w:lastRenderedPageBreak/>
        <w:t>Previous Designs</w:t>
      </w:r>
      <w:bookmarkEnd w:id="7"/>
    </w:p>
    <w:p w:rsidR="00E133B4" w:rsidRDefault="00E133B4" w:rsidP="00E133B4">
      <w:pPr>
        <w:rPr>
          <w:lang w:eastAsia="en-AU"/>
        </w:rPr>
      </w:pPr>
      <w:r>
        <w:rPr>
          <w:lang w:eastAsia="en-AU"/>
        </w:rPr>
        <w:t>There are two well-known previous implementations of the Battery Charge Regulator.</w:t>
      </w:r>
      <w:r w:rsidR="007E1B79">
        <w:rPr>
          <w:lang w:eastAsia="en-AU"/>
        </w:rPr>
        <w:t xml:space="preserve"> The first was designed in 2005 with charging control logic implemented on a QL3060 FPGA chip and charge regulation implemented on </w:t>
      </w:r>
      <w:r w:rsidR="00DA69B5">
        <w:rPr>
          <w:lang w:eastAsia="en-AU"/>
        </w:rPr>
        <w:t>the Texas Instruments</w:t>
      </w:r>
      <w:r w:rsidR="007E1B79">
        <w:rPr>
          <w:lang w:eastAsia="en-AU"/>
        </w:rPr>
        <w:t xml:space="preserve"> BQ2004E </w:t>
      </w:r>
      <w:r w:rsidR="00DA69B5">
        <w:rPr>
          <w:lang w:eastAsia="en-AU"/>
        </w:rPr>
        <w:t>charge regulator chip</w:t>
      </w:r>
      <w:r w:rsidR="007E1B79">
        <w:rPr>
          <w:lang w:eastAsia="en-AU"/>
        </w:rPr>
        <w:t>. The second was implemented using the Linear Technology LT3652C ‘Power Tracking 2A Battery Charger for Solar Power” chip.</w:t>
      </w:r>
      <w:r w:rsidR="00B54CA4">
        <w:rPr>
          <w:lang w:eastAsia="en-AU"/>
        </w:rPr>
        <w:t xml:space="preserve"> </w:t>
      </w:r>
    </w:p>
    <w:p w:rsidR="00B54CA4" w:rsidRDefault="00B54CA4" w:rsidP="00E133B4">
      <w:pPr>
        <w:rPr>
          <w:lang w:eastAsia="en-AU"/>
        </w:rPr>
      </w:pPr>
      <w:r>
        <w:rPr>
          <w:lang w:eastAsia="en-AU"/>
        </w:rPr>
        <w:t>Both these designs have been problematic to the point of requiring a redesign of the Battery Charge Regulation system. These problems have arisen due to poor documentation and maintenance of design-checking infrastructure.</w:t>
      </w:r>
    </w:p>
    <w:p w:rsidR="00DA69B5" w:rsidRDefault="00DA69B5" w:rsidP="00DA69B5">
      <w:pPr>
        <w:pStyle w:val="Heading2"/>
        <w:rPr>
          <w:lang w:eastAsia="en-AU"/>
        </w:rPr>
      </w:pPr>
      <w:bookmarkStart w:id="8" w:name="_Toc310504172"/>
      <w:r>
        <w:rPr>
          <w:lang w:eastAsia="en-AU"/>
        </w:rPr>
        <w:t>The QL3060 FPGA and BQ2004E Charge Regulator</w:t>
      </w:r>
      <w:bookmarkEnd w:id="8"/>
    </w:p>
    <w:p w:rsidR="00DA69B5" w:rsidRDefault="00DA69B5" w:rsidP="00DA69B5">
      <w:pPr>
        <w:rPr>
          <w:lang w:eastAsia="en-AU"/>
        </w:rPr>
      </w:pPr>
      <w:r>
        <w:rPr>
          <w:lang w:eastAsia="en-AU"/>
        </w:rPr>
        <w:t xml:space="preserve">Little formal documentation exists for the implantation of this particular system. Current known details about this charge relation come from a hard copy of the “BLUEsat Power System Architecture Drawing” (available on request) and anecdotal evidence on the results of the testing of the sub-blocks of this system. </w:t>
      </w:r>
    </w:p>
    <w:p w:rsidR="00DA69B5" w:rsidRDefault="00DA69B5" w:rsidP="00DA69B5">
      <w:pPr>
        <w:rPr>
          <w:lang w:eastAsia="en-AU"/>
        </w:rPr>
      </w:pPr>
      <w:r>
        <w:rPr>
          <w:lang w:eastAsia="en-AU"/>
        </w:rPr>
        <w:t xml:space="preserve">The drawing, dated 25/01/2005 by M. Hassan, D. Fenton and V. </w:t>
      </w:r>
      <w:r w:rsidRPr="001B29FD">
        <w:rPr>
          <w:lang w:eastAsia="en-AU"/>
        </w:rPr>
        <w:t>Thiruvarudchelvan</w:t>
      </w:r>
      <w:r>
        <w:rPr>
          <w:lang w:eastAsia="en-AU"/>
        </w:rPr>
        <w:t xml:space="preserve"> illustrates a system where the both charging and power control logic was centralised onto a large QL3060 FPGA. The redesign of the control architecture (see </w:t>
      </w:r>
      <w:r>
        <w:rPr>
          <w:i/>
          <w:lang w:eastAsia="en-AU"/>
        </w:rPr>
        <w:t>BLUE2011.2.0 – Design History</w:t>
      </w:r>
      <w:r>
        <w:rPr>
          <w:lang w:eastAsia="en-AU"/>
        </w:rPr>
        <w:t>) made the need for such a large FPGA obsolete.</w:t>
      </w:r>
      <w:r w:rsidR="001E480A">
        <w:rPr>
          <w:lang w:eastAsia="en-AU"/>
        </w:rPr>
        <w:t xml:space="preserve"> It is not clear what, if any method was considered for Maximum Power Point tracking from the solar panels.</w:t>
      </w:r>
    </w:p>
    <w:p w:rsidR="00DA69B5" w:rsidRDefault="00DA69B5" w:rsidP="00DA69B5">
      <w:pPr>
        <w:rPr>
          <w:lang w:eastAsia="en-AU"/>
        </w:rPr>
      </w:pPr>
      <w:r>
        <w:rPr>
          <w:lang w:eastAsia="en-AU"/>
        </w:rPr>
        <w:t xml:space="preserve">Furthermore, the </w:t>
      </w:r>
      <w:r w:rsidR="00321BC3">
        <w:rPr>
          <w:lang w:eastAsia="en-AU"/>
        </w:rPr>
        <w:t xml:space="preserve">Texas Instruments </w:t>
      </w:r>
      <w:r>
        <w:rPr>
          <w:lang w:eastAsia="en-AU"/>
        </w:rPr>
        <w:t xml:space="preserve">BQ2004E Charge Regulator was never successfully proven. </w:t>
      </w:r>
      <w:r w:rsidR="00321BC3">
        <w:rPr>
          <w:lang w:eastAsia="en-AU"/>
        </w:rPr>
        <w:t>Qualitative analysis shows that the BQ2004E is only capable of charging a maximum of 5.5 volts – far below the 16.8v battery packs of satellite. For this reason, previous t</w:t>
      </w:r>
      <w:r>
        <w:rPr>
          <w:lang w:eastAsia="en-AU"/>
        </w:rPr>
        <w:t xml:space="preserve">esting with prototypes of the NiMh battery banks that would go on the satellite yielded poor results, not able to charge the batteries to a full or sufficient charge. </w:t>
      </w:r>
    </w:p>
    <w:p w:rsidR="00321BC3" w:rsidRDefault="00321BC3" w:rsidP="00DA69B5">
      <w:pPr>
        <w:rPr>
          <w:lang w:eastAsia="en-AU"/>
        </w:rPr>
      </w:pPr>
      <w:r>
        <w:rPr>
          <w:lang w:eastAsia="en-AU"/>
        </w:rPr>
        <w:t>For this reason, this design was superseded in 2007 with the redesign of the control architecture of the satellite.</w:t>
      </w:r>
    </w:p>
    <w:p w:rsidR="00321BC3" w:rsidRDefault="00321BC3" w:rsidP="00321BC3">
      <w:pPr>
        <w:pStyle w:val="Heading2"/>
        <w:rPr>
          <w:lang w:eastAsia="en-AU"/>
        </w:rPr>
      </w:pPr>
      <w:bookmarkStart w:id="9" w:name="_Toc310504173"/>
      <w:r>
        <w:rPr>
          <w:lang w:eastAsia="en-AU"/>
        </w:rPr>
        <w:t>The LT3652 Power Tracker and Battery Charger</w:t>
      </w:r>
      <w:bookmarkEnd w:id="9"/>
    </w:p>
    <w:p w:rsidR="00321BC3" w:rsidRPr="00321BC3" w:rsidRDefault="00321BC3" w:rsidP="001E480A">
      <w:pPr>
        <w:rPr>
          <w:lang w:eastAsia="en-AU"/>
        </w:rPr>
      </w:pPr>
      <w:r>
        <w:rPr>
          <w:lang w:eastAsia="en-AU"/>
        </w:rPr>
        <w:t xml:space="preserve">The </w:t>
      </w:r>
      <w:r w:rsidR="001E480A">
        <w:rPr>
          <w:lang w:eastAsia="en-AU"/>
        </w:rPr>
        <w:t xml:space="preserve">design of the Battery Charge Regulator was attempted as a fourth year honours thesis by William Du. This design centred on the use of the Linear Technology LT3652 battery charging chip. This </w:t>
      </w:r>
      <w:r w:rsidR="00B54CA4">
        <w:rPr>
          <w:lang w:eastAsia="en-AU"/>
        </w:rPr>
        <w:t>design</w:t>
      </w:r>
      <w:r w:rsidR="001E480A">
        <w:rPr>
          <w:lang w:eastAsia="en-AU"/>
        </w:rPr>
        <w:t xml:space="preserve"> was chosen because </w:t>
      </w:r>
      <w:r w:rsidR="00B54CA4">
        <w:rPr>
          <w:lang w:eastAsia="en-AU"/>
        </w:rPr>
        <w:t>it combined Maximum Power Point Tracking and Charge Regulation onto a single chip.</w:t>
      </w:r>
    </w:p>
    <w:bookmarkEnd w:id="3"/>
    <w:p w:rsidR="00B54CA4" w:rsidRDefault="00B54CA4" w:rsidP="001E480A">
      <w:pPr>
        <w:rPr>
          <w:lang w:eastAsia="en-AU"/>
        </w:rPr>
      </w:pPr>
      <w:r>
        <w:rPr>
          <w:lang w:eastAsia="en-AU"/>
        </w:rPr>
        <w:t>However, t</w:t>
      </w:r>
      <w:r w:rsidR="00E133B4">
        <w:rPr>
          <w:lang w:eastAsia="en-AU"/>
        </w:rPr>
        <w:t xml:space="preserve">here are two main problems with </w:t>
      </w:r>
      <w:r>
        <w:rPr>
          <w:lang w:eastAsia="en-AU"/>
        </w:rPr>
        <w:t>this</w:t>
      </w:r>
      <w:r w:rsidR="00E133B4">
        <w:rPr>
          <w:lang w:eastAsia="en-AU"/>
        </w:rPr>
        <w:t xml:space="preserve"> design</w:t>
      </w:r>
      <w:r>
        <w:rPr>
          <w:lang w:eastAsia="en-AU"/>
        </w:rPr>
        <w:t>. Firstly, that</w:t>
      </w:r>
      <w:r w:rsidR="00E133B4">
        <w:rPr>
          <w:lang w:eastAsia="en-AU"/>
        </w:rPr>
        <w:t xml:space="preserve"> Maximum Power Point Tracking (MPPT) is not possib</w:t>
      </w:r>
      <w:r>
        <w:rPr>
          <w:lang w:eastAsia="en-AU"/>
        </w:rPr>
        <w:t>le across multiple solar panels. The design originally considered</w:t>
      </w:r>
      <w:r w:rsidR="00E133B4">
        <w:rPr>
          <w:lang w:eastAsia="en-AU"/>
        </w:rPr>
        <w:t xml:space="preserve"> </w:t>
      </w:r>
      <w:r>
        <w:rPr>
          <w:lang w:eastAsia="en-AU"/>
        </w:rPr>
        <w:t>that the</w:t>
      </w:r>
      <w:r w:rsidR="00E133B4">
        <w:rPr>
          <w:lang w:eastAsia="en-AU"/>
        </w:rPr>
        <w:t xml:space="preserve"> solar panels </w:t>
      </w:r>
      <w:r>
        <w:rPr>
          <w:lang w:eastAsia="en-AU"/>
        </w:rPr>
        <w:t>would be</w:t>
      </w:r>
      <w:r w:rsidR="00E133B4">
        <w:rPr>
          <w:lang w:eastAsia="en-AU"/>
        </w:rPr>
        <w:t xml:space="preserve"> tied to a common bus.</w:t>
      </w:r>
      <w:r>
        <w:rPr>
          <w:lang w:eastAsia="en-AU"/>
        </w:rPr>
        <w:t xml:space="preserve"> This is not the case with a Low-Earth-Orbit, cube-based satellite.</w:t>
      </w:r>
      <w:r w:rsidR="00E133B4">
        <w:rPr>
          <w:lang w:eastAsia="en-AU"/>
        </w:rPr>
        <w:t xml:space="preserve"> </w:t>
      </w:r>
    </w:p>
    <w:p w:rsidR="00E133B4" w:rsidRDefault="00E133B4" w:rsidP="001E480A">
      <w:pPr>
        <w:rPr>
          <w:lang w:eastAsia="en-AU"/>
        </w:rPr>
      </w:pPr>
      <w:r>
        <w:rPr>
          <w:lang w:eastAsia="en-AU"/>
        </w:rPr>
        <w:t>The other issue is that the design requires multiple batteries that need to be charged separately. This will add unnecessary co</w:t>
      </w:r>
      <w:r w:rsidR="00B54CA4">
        <w:rPr>
          <w:lang w:eastAsia="en-AU"/>
        </w:rPr>
        <w:t xml:space="preserve">mplexity to the design of the power supply system for the rest of the </w:t>
      </w:r>
      <w:r w:rsidR="00B54CA4">
        <w:rPr>
          <w:lang w:eastAsia="en-AU"/>
        </w:rPr>
        <w:lastRenderedPageBreak/>
        <w:t>satellite. The nature of power distribution in the satellite is such that a single power supply bus is required in order to design a sufficiently simple system.</w:t>
      </w:r>
    </w:p>
    <w:p w:rsidR="00E10AA3" w:rsidRDefault="00E10AA3" w:rsidP="001E480A">
      <w:pPr>
        <w:rPr>
          <w:lang w:eastAsia="en-AU"/>
        </w:rPr>
      </w:pPr>
      <w:r>
        <w:rPr>
          <w:lang w:eastAsia="en-AU"/>
        </w:rPr>
        <w:t>More information on this design can be found in William Du’s 2011 Honours Thesis (available on request).</w:t>
      </w:r>
    </w:p>
    <w:p w:rsidR="00B54CA4" w:rsidRDefault="00B54CA4">
      <w:pPr>
        <w:jc w:val="left"/>
        <w:rPr>
          <w:lang w:eastAsia="en-AU"/>
        </w:rPr>
      </w:pPr>
      <w:r>
        <w:rPr>
          <w:lang w:eastAsia="en-AU"/>
        </w:rPr>
        <w:br w:type="page"/>
      </w:r>
    </w:p>
    <w:p w:rsidR="00A55824" w:rsidRDefault="00B54CA4" w:rsidP="00B54CA4">
      <w:pPr>
        <w:pStyle w:val="Heading1"/>
        <w:rPr>
          <w:lang w:eastAsia="en-AU"/>
        </w:rPr>
      </w:pPr>
      <w:bookmarkStart w:id="10" w:name="_Toc310504174"/>
      <w:r>
        <w:rPr>
          <w:lang w:eastAsia="en-AU"/>
        </w:rPr>
        <w:lastRenderedPageBreak/>
        <w:t>Proposed Design</w:t>
      </w:r>
      <w:bookmarkEnd w:id="10"/>
    </w:p>
    <w:p w:rsidR="003F64F4" w:rsidRPr="003F64F4" w:rsidRDefault="003F64F4" w:rsidP="003F64F4">
      <w:pPr>
        <w:rPr>
          <w:lang w:eastAsia="en-AU"/>
        </w:rPr>
      </w:pPr>
      <w:r>
        <w:rPr>
          <w:lang w:eastAsia="en-AU"/>
        </w:rPr>
        <w:t xml:space="preserve">The new proposed BCR design focuses on modularity in the implementation of separate Battery Charge Regulators and Maximum Power Point Trackers for the solar panels. </w:t>
      </w:r>
    </w:p>
    <w:p w:rsidR="000566BB" w:rsidRPr="000566BB" w:rsidRDefault="000566BB" w:rsidP="000566BB">
      <w:pPr>
        <w:pStyle w:val="Heading2"/>
        <w:rPr>
          <w:lang w:eastAsia="en-AU"/>
        </w:rPr>
      </w:pPr>
      <w:bookmarkStart w:id="11" w:name="_Toc310504175"/>
      <w:r>
        <w:rPr>
          <w:lang w:eastAsia="en-AU"/>
        </w:rPr>
        <w:t>System Level Layout</w:t>
      </w:r>
      <w:bookmarkEnd w:id="11"/>
    </w:p>
    <w:p w:rsidR="00B54CA4" w:rsidRDefault="00B54CA4" w:rsidP="00B54CA4">
      <w:pPr>
        <w:rPr>
          <w:lang w:eastAsia="en-AU"/>
        </w:rPr>
      </w:pPr>
      <w:r>
        <w:rPr>
          <w:lang w:eastAsia="en-AU"/>
        </w:rPr>
        <w:t>In order to achieve MPP tracking for individual solar panels there are two possible configurations for the BCRs.</w:t>
      </w:r>
    </w:p>
    <w:p w:rsidR="00B54CA4" w:rsidRDefault="00B54CA4" w:rsidP="00B54CA4">
      <w:pPr>
        <w:numPr>
          <w:ilvl w:val="0"/>
          <w:numId w:val="44"/>
        </w:numPr>
        <w:rPr>
          <w:lang w:eastAsia="en-AU"/>
        </w:rPr>
      </w:pPr>
      <w:r>
        <w:rPr>
          <w:lang w:eastAsia="en-AU"/>
        </w:rPr>
        <w:t>One BCR for each solar panel (6 BCRs, as illustrated in</w:t>
      </w:r>
      <w:r w:rsidR="000566BB">
        <w:rPr>
          <w:lang w:eastAsia="en-AU"/>
        </w:rPr>
        <w:t xml:space="preserve"> </w:t>
      </w:r>
      <w:r w:rsidR="000566BB">
        <w:rPr>
          <w:lang w:eastAsia="en-AU"/>
        </w:rPr>
        <w:fldChar w:fldCharType="begin"/>
      </w:r>
      <w:r w:rsidR="000566BB">
        <w:rPr>
          <w:lang w:eastAsia="en-AU"/>
        </w:rPr>
        <w:instrText xml:space="preserve"> REF _Ref310347593 \h </w:instrText>
      </w:r>
      <w:r w:rsidR="000566BB">
        <w:rPr>
          <w:lang w:eastAsia="en-AU"/>
        </w:rPr>
      </w:r>
      <w:r w:rsidR="000566BB">
        <w:rPr>
          <w:lang w:eastAsia="en-AU"/>
        </w:rPr>
        <w:fldChar w:fldCharType="separate"/>
      </w:r>
      <w:r w:rsidR="000566BB">
        <w:t xml:space="preserve">Figure </w:t>
      </w:r>
      <w:r w:rsidR="000566BB">
        <w:rPr>
          <w:noProof/>
        </w:rPr>
        <w:t>5</w:t>
      </w:r>
      <w:r w:rsidR="000566BB">
        <w:t>.</w:t>
      </w:r>
      <w:r w:rsidR="000566BB">
        <w:rPr>
          <w:noProof/>
        </w:rPr>
        <w:t>1</w:t>
      </w:r>
      <w:r w:rsidR="000566BB">
        <w:rPr>
          <w:lang w:eastAsia="en-AU"/>
        </w:rPr>
        <w:fldChar w:fldCharType="end"/>
      </w:r>
      <w:r>
        <w:rPr>
          <w:lang w:eastAsia="en-AU"/>
        </w:rPr>
        <w:t>)</w:t>
      </w:r>
    </w:p>
    <w:p w:rsidR="00B54CA4" w:rsidRDefault="00B54CA4" w:rsidP="00B54CA4">
      <w:pPr>
        <w:numPr>
          <w:ilvl w:val="0"/>
          <w:numId w:val="44"/>
        </w:numPr>
        <w:rPr>
          <w:lang w:eastAsia="en-AU"/>
        </w:rPr>
      </w:pPr>
      <w:r>
        <w:rPr>
          <w:lang w:eastAsia="en-AU"/>
        </w:rPr>
        <w:t>One BCR for each opposing pair of solar panels (3 BCRs)</w:t>
      </w:r>
    </w:p>
    <w:p w:rsidR="00B54CA4" w:rsidRDefault="00B54CA4" w:rsidP="00B54CA4">
      <w:pPr>
        <w:rPr>
          <w:lang w:eastAsia="en-AU"/>
        </w:rPr>
      </w:pPr>
      <w:r>
        <w:rPr>
          <w:lang w:eastAsia="en-AU"/>
        </w:rPr>
        <w:t xml:space="preserve">The second option will be very nearly as efficient as the first as only one of each opposing pair of solar cells will be highly illuminated at any given time, and this will simplify the design. The first option is however more robust, as the failure of one BCR will result in the loss of one solar panel, rather than two as would be the case with the second option. </w:t>
      </w:r>
    </w:p>
    <w:p w:rsidR="00B54CA4" w:rsidRDefault="00B54CA4" w:rsidP="00B54CA4">
      <w:pPr>
        <w:rPr>
          <w:lang w:eastAsia="en-AU"/>
        </w:rPr>
      </w:pPr>
      <w:r>
        <w:rPr>
          <w:lang w:eastAsia="en-AU"/>
        </w:rPr>
        <w:t>These two options vary from the previous design in the thesis, in which all solar panels are connected to a common bus. This would be much less efficient as at a given instant each panel will have a different MPP as they could be at slightly different temperatures and receiving varying amounts of sunlight.</w:t>
      </w:r>
    </w:p>
    <w:p w:rsidR="00B54CA4" w:rsidRDefault="00B54CA4" w:rsidP="00B54CA4">
      <w:pPr>
        <w:rPr>
          <w:lang w:eastAsia="en-AU"/>
        </w:rPr>
      </w:pPr>
      <w:r>
        <w:rPr>
          <w:lang w:eastAsia="en-AU"/>
        </w:rPr>
        <w:t>All BCRs will be connected to a common battery, and will need to be isolated from the battery by diodes or FETs. The use of FETs has an advantage over the use of diodes as they have a much lower voltage drop, reducing the power loss due to heat.</w:t>
      </w:r>
    </w:p>
    <w:p w:rsidR="00B54CA4" w:rsidRDefault="00B54CA4" w:rsidP="00B54CA4">
      <w:pPr>
        <w:rPr>
          <w:lang w:eastAsia="en-AU"/>
        </w:rPr>
      </w:pPr>
      <w:r>
        <w:rPr>
          <w:lang w:eastAsia="en-AU"/>
        </w:rPr>
        <w:t>Maximum Power Point Tracking (MPPT) involves the measurement of the solar panel voltage and input currents to the BCR (performed using telemetry hardware) and periodically adjusting the MPP according to an MPPT algorithm such as the Perturb and Observe method (P&amp;O).</w:t>
      </w:r>
    </w:p>
    <w:p w:rsidR="00B54CA4" w:rsidRDefault="00B54CA4" w:rsidP="00B54CA4">
      <w:pPr>
        <w:keepNext/>
      </w:pPr>
      <w:r>
        <w:rPr>
          <w:noProof/>
          <w:lang w:eastAsia="en-AU"/>
        </w:rPr>
        <w:lastRenderedPageBreak/>
        <w:drawing>
          <wp:inline distT="0" distB="0" distL="0" distR="0" wp14:anchorId="2F6ABCEB" wp14:editId="2CDE3D98">
            <wp:extent cx="5986130" cy="4369982"/>
            <wp:effectExtent l="19050" t="19050" r="15240" b="1206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6716" cy="4370410"/>
                    </a:xfrm>
                    <a:prstGeom prst="rect">
                      <a:avLst/>
                    </a:prstGeom>
                    <a:noFill/>
                    <a:ln>
                      <a:solidFill>
                        <a:schemeClr val="tx1"/>
                      </a:solidFill>
                    </a:ln>
                  </pic:spPr>
                </pic:pic>
              </a:graphicData>
            </a:graphic>
          </wp:inline>
        </w:drawing>
      </w:r>
    </w:p>
    <w:p w:rsidR="00B54CA4" w:rsidRDefault="00B54CA4" w:rsidP="00B54CA4">
      <w:pPr>
        <w:pStyle w:val="Caption"/>
        <w:jc w:val="both"/>
      </w:pPr>
      <w:bookmarkStart w:id="12" w:name="_Ref310347593"/>
      <w:bookmarkStart w:id="13" w:name="_Ref310347588"/>
      <w:r>
        <w:t xml:space="preserve">Figure </w:t>
      </w:r>
      <w:fldSimple w:instr=" STYLEREF 1 \s ">
        <w:r>
          <w:rPr>
            <w:noProof/>
          </w:rPr>
          <w:t>5</w:t>
        </w:r>
      </w:fldSimple>
      <w:r>
        <w:t>.</w:t>
      </w:r>
      <w:fldSimple w:instr=" SEQ Figure \* ARABIC \s 1 ">
        <w:r>
          <w:rPr>
            <w:noProof/>
          </w:rPr>
          <w:t>1</w:t>
        </w:r>
      </w:fldSimple>
      <w:bookmarkEnd w:id="12"/>
      <w:r>
        <w:t xml:space="preserve"> - Block Diagram showing possible configurations of the BCR subsystem</w:t>
      </w:r>
      <w:bookmarkEnd w:id="13"/>
    </w:p>
    <w:p w:rsidR="000566BB" w:rsidRPr="000566BB" w:rsidRDefault="000566BB" w:rsidP="000566BB">
      <w:pPr>
        <w:pStyle w:val="Heading2"/>
        <w:rPr>
          <w:lang w:eastAsia="en-AU"/>
        </w:rPr>
      </w:pPr>
      <w:bookmarkStart w:id="14" w:name="_Toc310504176"/>
      <w:r>
        <w:rPr>
          <w:lang w:eastAsia="en-AU"/>
        </w:rPr>
        <w:t>Battery Charger Circuit</w:t>
      </w:r>
      <w:bookmarkEnd w:id="14"/>
    </w:p>
    <w:p w:rsidR="00B54CA4" w:rsidRDefault="00B54CA4" w:rsidP="00B54CA4">
      <w:pPr>
        <w:rPr>
          <w:lang w:eastAsia="en-AU"/>
        </w:rPr>
      </w:pPr>
      <w:r>
        <w:rPr>
          <w:lang w:eastAsia="en-AU"/>
        </w:rPr>
        <w:t>The new battery charger is based around the LT1513 battery charger IC produced by Linear Technologies. This has many advantages for use in this configuration, such as the following:</w:t>
      </w:r>
    </w:p>
    <w:p w:rsidR="00B54CA4" w:rsidRDefault="00B54CA4" w:rsidP="00B54CA4">
      <w:pPr>
        <w:numPr>
          <w:ilvl w:val="0"/>
          <w:numId w:val="43"/>
        </w:numPr>
        <w:rPr>
          <w:lang w:eastAsia="en-AU"/>
        </w:rPr>
      </w:pPr>
      <w:r>
        <w:rPr>
          <w:lang w:eastAsia="en-AU"/>
        </w:rPr>
        <w:t>It outputs a constant voltage, allowing multiple BCRs to charge a single battery.</w:t>
      </w:r>
    </w:p>
    <w:p w:rsidR="00B54CA4" w:rsidRDefault="00B54CA4" w:rsidP="00B54CA4">
      <w:pPr>
        <w:numPr>
          <w:ilvl w:val="0"/>
          <w:numId w:val="43"/>
        </w:numPr>
        <w:rPr>
          <w:lang w:eastAsia="en-AU"/>
        </w:rPr>
      </w:pPr>
      <w:r>
        <w:rPr>
          <w:lang w:eastAsia="en-AU"/>
        </w:rPr>
        <w:t>It works as both a step-down and step-up converter, so it can charge batteries from inputs above and below battery voltage.</w:t>
      </w:r>
    </w:p>
    <w:p w:rsidR="00B54CA4" w:rsidRDefault="00B54CA4" w:rsidP="00B54CA4">
      <w:pPr>
        <w:numPr>
          <w:ilvl w:val="0"/>
          <w:numId w:val="43"/>
        </w:numPr>
        <w:rPr>
          <w:lang w:eastAsia="en-AU"/>
        </w:rPr>
      </w:pPr>
      <w:r>
        <w:rPr>
          <w:lang w:eastAsia="en-AU"/>
        </w:rPr>
        <w:t>The maximum charge current can be controlled externally. This is useful for adjusting the MPP.</w:t>
      </w:r>
    </w:p>
    <w:p w:rsidR="00B54CA4" w:rsidRDefault="00B54CA4" w:rsidP="00B54CA4">
      <w:pPr>
        <w:rPr>
          <w:lang w:eastAsia="en-AU"/>
        </w:rPr>
      </w:pPr>
      <w:r>
        <w:rPr>
          <w:lang w:eastAsia="en-AU"/>
        </w:rPr>
        <w:t>The LT1513 IC allows the maximum charge current to be programmed by a control voltage. By changing this control vol</w:t>
      </w:r>
      <w:r w:rsidR="003F64F4">
        <w:rPr>
          <w:lang w:eastAsia="en-AU"/>
        </w:rPr>
        <w:t>tage, the MPP can be adjusted.</w:t>
      </w:r>
      <w:r>
        <w:rPr>
          <w:lang w:eastAsia="en-AU"/>
        </w:rPr>
        <w:t xml:space="preserve"> </w:t>
      </w:r>
    </w:p>
    <w:p w:rsidR="003F64F4" w:rsidRDefault="003F64F4" w:rsidP="003F64F4">
      <w:pPr>
        <w:pStyle w:val="Heading2"/>
        <w:rPr>
          <w:lang w:eastAsia="en-AU"/>
        </w:rPr>
      </w:pPr>
      <w:bookmarkStart w:id="15" w:name="_Toc310504177"/>
      <w:r>
        <w:rPr>
          <w:lang w:eastAsia="en-AU"/>
        </w:rPr>
        <w:t>Maximum Power Point Tracker (MPPT)</w:t>
      </w:r>
      <w:bookmarkEnd w:id="15"/>
    </w:p>
    <w:p w:rsidR="003F64F4" w:rsidRDefault="003F64F4" w:rsidP="00B54CA4">
      <w:pPr>
        <w:rPr>
          <w:lang w:eastAsia="en-AU"/>
        </w:rPr>
      </w:pPr>
      <w:r>
        <w:rPr>
          <w:lang w:eastAsia="en-AU"/>
        </w:rPr>
        <w:t>Control of maximum charge current provided by the LT1513 integrated circuit is to be used for the implementation of a Maximum Power Point Tracker. Realisation of an MPPT algorithm can be provided in the form an analogue control signal to each individual Battery Charger unit. This algorithm would require feedback from voltage and current sensing telemetry data from the solar panels.</w:t>
      </w:r>
    </w:p>
    <w:p w:rsidR="00B54CA4" w:rsidRDefault="003F64F4" w:rsidP="00B54CA4">
      <w:pPr>
        <w:rPr>
          <w:lang w:eastAsia="en-AU"/>
        </w:rPr>
      </w:pPr>
      <w:r>
        <w:rPr>
          <w:lang w:eastAsia="en-AU"/>
        </w:rPr>
        <w:lastRenderedPageBreak/>
        <w:t xml:space="preserve">This control algorithm </w:t>
      </w:r>
      <w:r w:rsidR="00E10AA3">
        <w:rPr>
          <w:lang w:eastAsia="en-AU"/>
        </w:rPr>
        <w:t>needs to be implemented on a central controller of some form. Initial investigations would indicate that the Critical Systems Compute would be unsuitable in this role. The BCR controller would need to be able to power on before the Battery Charging circuitry powers on, in order to monitor all current telemetry, determine error states and therefore control the BCR as necessary. Such a controller would therefore need to be implemented such that it can operate off pure solar panel power in the event of completely discharged batteries (as is the case just after launch).</w:t>
      </w:r>
    </w:p>
    <w:p w:rsidR="00E10AA3" w:rsidRDefault="00E10AA3" w:rsidP="00B54CA4">
      <w:pPr>
        <w:rPr>
          <w:lang w:eastAsia="en-AU"/>
        </w:rPr>
      </w:pPr>
      <w:r>
        <w:rPr>
          <w:lang w:eastAsia="en-AU"/>
        </w:rPr>
        <w:t>Due to the power requirements of the LPC2468 microcontroller, or indeed any other microcontroller capable of controlling the critical systems of the satellite, it cannot be reliably powered simply using a source as temperamental as the 6-panel solar array of a rotating microsatellite in Low Earth Orbit.</w:t>
      </w:r>
    </w:p>
    <w:p w:rsidR="00E10AA3" w:rsidRDefault="00E10AA3" w:rsidP="00B54CA4">
      <w:pPr>
        <w:rPr>
          <w:lang w:eastAsia="en-AU"/>
        </w:rPr>
      </w:pPr>
      <w:r>
        <w:rPr>
          <w:lang w:eastAsia="en-AU"/>
        </w:rPr>
        <w:t>Currently, it is being debated whether or not to have a default state for the Battery Charge System in the absence of a control signal or to implement a controller entirely separate from the CSC. Having a default state when the other satellite sub-systems are unavailable risks catastrophic failure if the state of the Battery Charging Circuitry is in a state of error. However introducing another microcontroller, however lightweight, introduces a significant design cost. This document will be used to tender what control design would work best.</w:t>
      </w:r>
    </w:p>
    <w:p w:rsidR="003F64F4" w:rsidRDefault="003F64F4" w:rsidP="003F64F4">
      <w:pPr>
        <w:pStyle w:val="Heading2"/>
        <w:rPr>
          <w:lang w:eastAsia="en-AU"/>
        </w:rPr>
      </w:pPr>
      <w:bookmarkStart w:id="16" w:name="_Toc310504178"/>
      <w:r>
        <w:rPr>
          <w:lang w:eastAsia="en-AU"/>
        </w:rPr>
        <w:t>Current Progress</w:t>
      </w:r>
      <w:bookmarkEnd w:id="16"/>
    </w:p>
    <w:p w:rsidR="003F64F4" w:rsidRDefault="003F64F4" w:rsidP="003F64F4">
      <w:pPr>
        <w:rPr>
          <w:lang w:eastAsia="en-AU"/>
        </w:rPr>
      </w:pPr>
      <w:r>
        <w:rPr>
          <w:lang w:eastAsia="en-AU"/>
        </w:rPr>
        <w:t>As of the 29</w:t>
      </w:r>
      <w:r w:rsidRPr="003F64F4">
        <w:rPr>
          <w:vertAlign w:val="superscript"/>
          <w:lang w:eastAsia="en-AU"/>
        </w:rPr>
        <w:t>th</w:t>
      </w:r>
      <w:r>
        <w:rPr>
          <w:lang w:eastAsia="en-AU"/>
        </w:rPr>
        <w:t xml:space="preserve"> of November, 2011, prototype PCBs </w:t>
      </w:r>
      <w:r w:rsidRPr="003F64F4">
        <w:rPr>
          <w:lang w:eastAsia="en-AU"/>
        </w:rPr>
        <w:t>have been designed and ordered for a new BCR test board based on the LT1513 battery charger IC. These will be used to test the charging of the current batteries and to experiment with different configurations of the overall BCR subsystem.</w:t>
      </w:r>
    </w:p>
    <w:p w:rsidR="003F64F4" w:rsidRDefault="003F64F4" w:rsidP="003F64F4">
      <w:pPr>
        <w:rPr>
          <w:lang w:eastAsia="en-AU"/>
        </w:rPr>
      </w:pPr>
      <w:r>
        <w:rPr>
          <w:lang w:eastAsia="en-AU"/>
        </w:rPr>
        <w:t>Chip selection and control design for the MPPT</w:t>
      </w:r>
      <w:r w:rsidR="00E10AA3">
        <w:rPr>
          <w:lang w:eastAsia="en-AU"/>
        </w:rPr>
        <w:t xml:space="preserve"> will be debated with the publishing of this document.</w:t>
      </w:r>
    </w:p>
    <w:p w:rsidR="00E10AA3" w:rsidRDefault="00E10AA3">
      <w:pPr>
        <w:jc w:val="left"/>
        <w:rPr>
          <w:lang w:eastAsia="en-AU"/>
        </w:rPr>
      </w:pPr>
      <w:r>
        <w:rPr>
          <w:lang w:eastAsia="en-AU"/>
        </w:rPr>
        <w:br w:type="page"/>
      </w:r>
    </w:p>
    <w:p w:rsidR="00E94EE5" w:rsidRDefault="00E10AA3" w:rsidP="00E94EE5">
      <w:pPr>
        <w:pStyle w:val="Heading1"/>
        <w:rPr>
          <w:lang w:eastAsia="en-AU"/>
        </w:rPr>
      </w:pPr>
      <w:bookmarkStart w:id="17" w:name="_Toc310504179"/>
      <w:r>
        <w:rPr>
          <w:lang w:eastAsia="en-AU"/>
        </w:rPr>
        <w:lastRenderedPageBreak/>
        <w:t>Conclusion</w:t>
      </w:r>
      <w:bookmarkEnd w:id="17"/>
    </w:p>
    <w:p w:rsidR="00E94EE5" w:rsidRDefault="00E94EE5" w:rsidP="00E94EE5">
      <w:pPr>
        <w:rPr>
          <w:lang w:eastAsia="en-AU"/>
        </w:rPr>
      </w:pPr>
      <w:r>
        <w:rPr>
          <w:lang w:eastAsia="en-AU"/>
        </w:rPr>
        <w:t xml:space="preserve">Previous designs for this critical subsystem have proven to be inadequate for the </w:t>
      </w:r>
      <w:r w:rsidR="00F3120B">
        <w:rPr>
          <w:lang w:eastAsia="en-AU"/>
        </w:rPr>
        <w:t>requirements of the satellite. This has occurred due to poor design and testing documentation and lack of proper infrastructure for design testing and verification. This document attempts to consolidate all previous knowledge on the battery charge regulators, put forward proper specifications for the system and a design that meets these specifications for tender.</w:t>
      </w:r>
    </w:p>
    <w:p w:rsidR="00F3120B" w:rsidRDefault="00F3120B" w:rsidP="00E94EE5">
      <w:pPr>
        <w:rPr>
          <w:lang w:eastAsia="en-AU"/>
        </w:rPr>
      </w:pPr>
      <w:r>
        <w:rPr>
          <w:lang w:eastAsia="en-AU"/>
        </w:rPr>
        <w:t>The battery charging sub-unit has been designed and verified and awaits proper testing. Documentation on this testing will follow.</w:t>
      </w:r>
    </w:p>
    <w:p w:rsidR="00F3120B" w:rsidRDefault="00F3120B" w:rsidP="00E94EE5">
      <w:pPr>
        <w:rPr>
          <w:lang w:eastAsia="en-AU"/>
        </w:rPr>
      </w:pPr>
      <w:r>
        <w:rPr>
          <w:lang w:eastAsia="en-AU"/>
        </w:rPr>
        <w:t>The control required for the implementation of a Maximum Power Point Tracker is still being debated. Currently the choice lies between having the control on the Critical Systems Computer, which presents error handling issues, and having separate control for the entire Battery Charging system, which presents extra design cost.</w:t>
      </w:r>
    </w:p>
    <w:p w:rsidR="005965A2" w:rsidRPr="00E94EE5" w:rsidRDefault="005965A2" w:rsidP="00E94EE5">
      <w:pPr>
        <w:rPr>
          <w:lang w:eastAsia="en-AU"/>
        </w:rPr>
      </w:pPr>
      <w:r>
        <w:rPr>
          <w:lang w:eastAsia="en-AU"/>
        </w:rPr>
        <w:t xml:space="preserve">Future documentation and </w:t>
      </w:r>
      <w:r w:rsidR="0037623F">
        <w:rPr>
          <w:lang w:eastAsia="en-AU"/>
        </w:rPr>
        <w:t>finalisation</w:t>
      </w:r>
      <w:r>
        <w:rPr>
          <w:lang w:eastAsia="en-AU"/>
        </w:rPr>
        <w:t xml:space="preserve"> of the BCR design will follow.</w:t>
      </w:r>
    </w:p>
    <w:sectPr w:rsidR="005965A2" w:rsidRPr="00E94EE5" w:rsidSect="00D73916">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0D30" w:rsidRDefault="00220D30" w:rsidP="00933D04">
      <w:pPr>
        <w:spacing w:after="0" w:line="240" w:lineRule="auto"/>
      </w:pPr>
      <w:r>
        <w:separator/>
      </w:r>
    </w:p>
  </w:endnote>
  <w:endnote w:type="continuationSeparator" w:id="0">
    <w:p w:rsidR="00220D30" w:rsidRDefault="00220D30" w:rsidP="00933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7214982"/>
      <w:docPartObj>
        <w:docPartGallery w:val="Page Numbers (Bottom of Page)"/>
        <w:docPartUnique/>
      </w:docPartObj>
    </w:sdtPr>
    <w:sdtEndPr>
      <w:rPr>
        <w:noProof/>
      </w:rPr>
    </w:sdtEndPr>
    <w:sdtContent>
      <w:p w:rsidR="008F5DF5" w:rsidRDefault="008F5DF5">
        <w:pPr>
          <w:pStyle w:val="Footer"/>
          <w:jc w:val="center"/>
        </w:pPr>
        <w:r>
          <w:fldChar w:fldCharType="begin"/>
        </w:r>
        <w:r>
          <w:instrText xml:space="preserve"> PAGE   \* MERGEFORMAT </w:instrText>
        </w:r>
        <w:r>
          <w:fldChar w:fldCharType="separate"/>
        </w:r>
        <w:r w:rsidR="00FF6617">
          <w:rPr>
            <w:noProof/>
          </w:rPr>
          <w:t>1</w:t>
        </w:r>
        <w:r>
          <w:rPr>
            <w:noProof/>
          </w:rPr>
          <w:fldChar w:fldCharType="end"/>
        </w:r>
      </w:p>
    </w:sdtContent>
  </w:sdt>
  <w:p w:rsidR="008F5DF5" w:rsidRDefault="008F5D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0D30" w:rsidRDefault="00220D30" w:rsidP="00933D04">
      <w:pPr>
        <w:spacing w:after="0" w:line="240" w:lineRule="auto"/>
      </w:pPr>
      <w:r>
        <w:separator/>
      </w:r>
    </w:p>
  </w:footnote>
  <w:footnote w:type="continuationSeparator" w:id="0">
    <w:p w:rsidR="00220D30" w:rsidRDefault="00220D30" w:rsidP="00933D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5DF5" w:rsidRDefault="008F5DF5">
    <w:pPr>
      <w:pStyle w:val="Header"/>
    </w:pPr>
    <w:r>
      <w:t>BLUEsat Project</w:t>
    </w:r>
    <w:r>
      <w:ptab w:relativeTo="margin" w:alignment="center" w:leader="none"/>
    </w:r>
    <w:r w:rsidR="00E133B4">
      <w:t>Battery Charge Regulator</w:t>
    </w:r>
    <w:r>
      <w:ptab w:relativeTo="margin" w:alignment="right" w:leader="none"/>
    </w:r>
    <w:r w:rsidR="00BB0C88">
      <w:t>BLUE.2011.3</w:t>
    </w:r>
    <w:r>
      <w:t>.0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571D0"/>
    <w:multiLevelType w:val="multilevel"/>
    <w:tmpl w:val="0068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842F6B"/>
    <w:multiLevelType w:val="hybridMultilevel"/>
    <w:tmpl w:val="C8C26C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F764CF1"/>
    <w:multiLevelType w:val="hybridMultilevel"/>
    <w:tmpl w:val="EC40EE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FDE5F99"/>
    <w:multiLevelType w:val="hybridMultilevel"/>
    <w:tmpl w:val="93AED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4F12252"/>
    <w:multiLevelType w:val="hybridMultilevel"/>
    <w:tmpl w:val="3DF2F756"/>
    <w:lvl w:ilvl="0" w:tplc="FF2AB42A">
      <w:start w:val="1"/>
      <w:numFmt w:val="decimal"/>
      <w:lvlText w:val="%1."/>
      <w:lvlJc w:val="left"/>
      <w:pPr>
        <w:ind w:left="720" w:hanging="360"/>
      </w:pPr>
      <w:rPr>
        <w:rFonts w:asciiTheme="minorHAnsi" w:hAnsiTheme="minorHAnsi" w:cstheme="majorBid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6A86D4D"/>
    <w:multiLevelType w:val="hybridMultilevel"/>
    <w:tmpl w:val="F73E8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E206AFF"/>
    <w:multiLevelType w:val="hybridMultilevel"/>
    <w:tmpl w:val="FB0EF57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0E76EE2"/>
    <w:multiLevelType w:val="hybridMultilevel"/>
    <w:tmpl w:val="4AF058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96C5CCE"/>
    <w:multiLevelType w:val="hybridMultilevel"/>
    <w:tmpl w:val="0860B8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B91143B"/>
    <w:multiLevelType w:val="multilevel"/>
    <w:tmpl w:val="0C090025"/>
    <w:styleLink w:val="Style2"/>
    <w:lvl w:ilvl="0">
      <w:start w:val="1"/>
      <w:numFmt w:val="decimal"/>
      <w:lvlText w:val="%1"/>
      <w:lvlJc w:val="left"/>
      <w:pPr>
        <w:ind w:left="432" w:hanging="432"/>
      </w:pPr>
      <w:rPr>
        <w:rFonts w:asciiTheme="minorHAnsi" w:hAnsiTheme="minorHAns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E4135EA"/>
    <w:multiLevelType w:val="hybridMultilevel"/>
    <w:tmpl w:val="1B4A5C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23438A6"/>
    <w:multiLevelType w:val="hybridMultilevel"/>
    <w:tmpl w:val="0D4C9C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D2F6433"/>
    <w:multiLevelType w:val="hybridMultilevel"/>
    <w:tmpl w:val="80E2D5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13F4C4A"/>
    <w:multiLevelType w:val="multilevel"/>
    <w:tmpl w:val="F9ACD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293F5F"/>
    <w:multiLevelType w:val="multilevel"/>
    <w:tmpl w:val="E71EF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88B47EA"/>
    <w:multiLevelType w:val="hybridMultilevel"/>
    <w:tmpl w:val="624ED4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95B638D"/>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BDA3693"/>
    <w:multiLevelType w:val="hybridMultilevel"/>
    <w:tmpl w:val="EB0496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506030E4"/>
    <w:multiLevelType w:val="hybridMultilevel"/>
    <w:tmpl w:val="B1909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506906A8"/>
    <w:multiLevelType w:val="hybridMultilevel"/>
    <w:tmpl w:val="06A65F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54A468B0"/>
    <w:multiLevelType w:val="hybridMultilevel"/>
    <w:tmpl w:val="0ED683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5BF21398"/>
    <w:multiLevelType w:val="hybridMultilevel"/>
    <w:tmpl w:val="E73A2D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D7E7D9C"/>
    <w:multiLevelType w:val="multilevel"/>
    <w:tmpl w:val="430C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E3B4BFD"/>
    <w:multiLevelType w:val="hybridMultilevel"/>
    <w:tmpl w:val="FD6E0BEC"/>
    <w:lvl w:ilvl="0" w:tplc="0C090001">
      <w:start w:val="1"/>
      <w:numFmt w:val="bullet"/>
      <w:lvlText w:val=""/>
      <w:lvlJc w:val="left"/>
      <w:pPr>
        <w:ind w:left="770" w:hanging="360"/>
      </w:pPr>
      <w:rPr>
        <w:rFonts w:ascii="Symbol" w:hAnsi="Symbol" w:hint="default"/>
      </w:rPr>
    </w:lvl>
    <w:lvl w:ilvl="1" w:tplc="0C090003">
      <w:start w:val="1"/>
      <w:numFmt w:val="bullet"/>
      <w:lvlText w:val="o"/>
      <w:lvlJc w:val="left"/>
      <w:pPr>
        <w:ind w:left="1490" w:hanging="360"/>
      </w:pPr>
      <w:rPr>
        <w:rFonts w:ascii="Courier New" w:hAnsi="Courier New" w:cs="Courier New" w:hint="default"/>
      </w:rPr>
    </w:lvl>
    <w:lvl w:ilvl="2" w:tplc="0C090005">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24">
    <w:nsid w:val="5EF52443"/>
    <w:multiLevelType w:val="hybridMultilevel"/>
    <w:tmpl w:val="A77E0C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7167565D"/>
    <w:multiLevelType w:val="multilevel"/>
    <w:tmpl w:val="D5FCD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23C4270"/>
    <w:multiLevelType w:val="multilevel"/>
    <w:tmpl w:val="2336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324750D"/>
    <w:multiLevelType w:val="multilevel"/>
    <w:tmpl w:val="0C090025"/>
    <w:styleLink w:val="Style1"/>
    <w:lvl w:ilvl="0">
      <w:start w:val="1"/>
      <w:numFmt w:val="decimal"/>
      <w:lvlText w:val="%1"/>
      <w:lvlJc w:val="left"/>
      <w:pPr>
        <w:ind w:left="432" w:hanging="432"/>
      </w:pPr>
      <w:rPr>
        <w:rFonts w:asciiTheme="minorHAnsi" w:hAnsiTheme="minorHAnsi"/>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761551ED"/>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860"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nsid w:val="78B34076"/>
    <w:multiLevelType w:val="hybridMultilevel"/>
    <w:tmpl w:val="79C864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7D2411D1"/>
    <w:multiLevelType w:val="hybridMultilevel"/>
    <w:tmpl w:val="B97C6D60"/>
    <w:lvl w:ilvl="0" w:tplc="E7B0D4AE">
      <w:start w:val="1"/>
      <w:numFmt w:val="decimal"/>
      <w:lvlText w:val="%1."/>
      <w:lvlJc w:val="left"/>
      <w:pPr>
        <w:ind w:left="555" w:hanging="450"/>
      </w:pPr>
      <w:rPr>
        <w:rFonts w:asciiTheme="minorHAnsi" w:hAnsiTheme="minorHAnsi" w:cstheme="majorBidi" w:hint="default"/>
      </w:rPr>
    </w:lvl>
    <w:lvl w:ilvl="1" w:tplc="0C090019" w:tentative="1">
      <w:start w:val="1"/>
      <w:numFmt w:val="lowerLetter"/>
      <w:lvlText w:val="%2."/>
      <w:lvlJc w:val="left"/>
      <w:pPr>
        <w:ind w:left="1185" w:hanging="360"/>
      </w:pPr>
    </w:lvl>
    <w:lvl w:ilvl="2" w:tplc="0C09001B" w:tentative="1">
      <w:start w:val="1"/>
      <w:numFmt w:val="lowerRoman"/>
      <w:lvlText w:val="%3."/>
      <w:lvlJc w:val="right"/>
      <w:pPr>
        <w:ind w:left="1905" w:hanging="180"/>
      </w:pPr>
    </w:lvl>
    <w:lvl w:ilvl="3" w:tplc="0C09000F" w:tentative="1">
      <w:start w:val="1"/>
      <w:numFmt w:val="decimal"/>
      <w:lvlText w:val="%4."/>
      <w:lvlJc w:val="left"/>
      <w:pPr>
        <w:ind w:left="2625" w:hanging="360"/>
      </w:pPr>
    </w:lvl>
    <w:lvl w:ilvl="4" w:tplc="0C090019" w:tentative="1">
      <w:start w:val="1"/>
      <w:numFmt w:val="lowerLetter"/>
      <w:lvlText w:val="%5."/>
      <w:lvlJc w:val="left"/>
      <w:pPr>
        <w:ind w:left="3345" w:hanging="360"/>
      </w:pPr>
    </w:lvl>
    <w:lvl w:ilvl="5" w:tplc="0C09001B" w:tentative="1">
      <w:start w:val="1"/>
      <w:numFmt w:val="lowerRoman"/>
      <w:lvlText w:val="%6."/>
      <w:lvlJc w:val="right"/>
      <w:pPr>
        <w:ind w:left="4065" w:hanging="180"/>
      </w:pPr>
    </w:lvl>
    <w:lvl w:ilvl="6" w:tplc="0C09000F" w:tentative="1">
      <w:start w:val="1"/>
      <w:numFmt w:val="decimal"/>
      <w:lvlText w:val="%7."/>
      <w:lvlJc w:val="left"/>
      <w:pPr>
        <w:ind w:left="4785" w:hanging="360"/>
      </w:pPr>
    </w:lvl>
    <w:lvl w:ilvl="7" w:tplc="0C090019" w:tentative="1">
      <w:start w:val="1"/>
      <w:numFmt w:val="lowerLetter"/>
      <w:lvlText w:val="%8."/>
      <w:lvlJc w:val="left"/>
      <w:pPr>
        <w:ind w:left="5505" w:hanging="360"/>
      </w:pPr>
    </w:lvl>
    <w:lvl w:ilvl="8" w:tplc="0C09001B" w:tentative="1">
      <w:start w:val="1"/>
      <w:numFmt w:val="lowerRoman"/>
      <w:lvlText w:val="%9."/>
      <w:lvlJc w:val="right"/>
      <w:pPr>
        <w:ind w:left="6225" w:hanging="180"/>
      </w:pPr>
    </w:lvl>
  </w:abstractNum>
  <w:abstractNum w:abstractNumId="31">
    <w:nsid w:val="7F97119A"/>
    <w:multiLevelType w:val="multilevel"/>
    <w:tmpl w:val="0A0E19BA"/>
    <w:lvl w:ilvl="0">
      <w:start w:val="1"/>
      <w:numFmt w:val="decimal"/>
      <w:lvlText w:val="%1"/>
      <w:lvlJc w:val="left"/>
      <w:pPr>
        <w:ind w:left="432" w:hanging="432"/>
      </w:pPr>
      <w:rPr>
        <w:rFonts w:asciiTheme="minorHAnsi" w:hAnsiTheme="minorHAnsi" w:cstheme="minorHAnsi" w:hint="default"/>
        <w:sz w:val="44"/>
        <w:szCs w:val="44"/>
      </w:rPr>
    </w:lvl>
    <w:lvl w:ilvl="1">
      <w:start w:val="1"/>
      <w:numFmt w:val="decimal"/>
      <w:lvlText w:val="%1.%2"/>
      <w:lvlJc w:val="left"/>
      <w:pPr>
        <w:ind w:left="576" w:hanging="576"/>
      </w:pPr>
      <w:rPr>
        <w:rFonts w:asciiTheme="minorHAnsi" w:hAnsiTheme="minorHAnsi" w:cstheme="minorHAnsi" w:hint="default"/>
      </w:rPr>
    </w:lvl>
    <w:lvl w:ilvl="2">
      <w:start w:val="1"/>
      <w:numFmt w:val="decimal"/>
      <w:lvlText w:val="%1.%2.%3"/>
      <w:lvlJc w:val="left"/>
      <w:pPr>
        <w:ind w:left="861" w:hanging="720"/>
      </w:pPr>
      <w:rPr>
        <w:rFonts w:ascii="Calibri" w:hAnsi="Calibri" w:hint="default"/>
        <w:b/>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1"/>
  </w:num>
  <w:num w:numId="2">
    <w:abstractNumId w:val="31"/>
  </w:num>
  <w:num w:numId="3">
    <w:abstractNumId w:val="25"/>
  </w:num>
  <w:num w:numId="4">
    <w:abstractNumId w:val="14"/>
  </w:num>
  <w:num w:numId="5">
    <w:abstractNumId w:val="13"/>
  </w:num>
  <w:num w:numId="6">
    <w:abstractNumId w:val="0"/>
  </w:num>
  <w:num w:numId="7">
    <w:abstractNumId w:val="6"/>
  </w:num>
  <w:num w:numId="8">
    <w:abstractNumId w:val="10"/>
  </w:num>
  <w:num w:numId="9">
    <w:abstractNumId w:val="21"/>
  </w:num>
  <w:num w:numId="10">
    <w:abstractNumId w:val="5"/>
  </w:num>
  <w:num w:numId="11">
    <w:abstractNumId w:val="4"/>
  </w:num>
  <w:num w:numId="12">
    <w:abstractNumId w:val="18"/>
  </w:num>
  <w:num w:numId="13">
    <w:abstractNumId w:val="17"/>
  </w:num>
  <w:num w:numId="14">
    <w:abstractNumId w:val="30"/>
  </w:num>
  <w:num w:numId="15">
    <w:abstractNumId w:val="16"/>
  </w:num>
  <w:num w:numId="16">
    <w:abstractNumId w:val="27"/>
  </w:num>
  <w:num w:numId="17">
    <w:abstractNumId w:val="9"/>
  </w:num>
  <w:num w:numId="18">
    <w:abstractNumId w:val="11"/>
  </w:num>
  <w:num w:numId="19">
    <w:abstractNumId w:val="15"/>
  </w:num>
  <w:num w:numId="20">
    <w:abstractNumId w:val="23"/>
  </w:num>
  <w:num w:numId="21">
    <w:abstractNumId w:val="29"/>
  </w:num>
  <w:num w:numId="22">
    <w:abstractNumId w:val="22"/>
  </w:num>
  <w:num w:numId="23">
    <w:abstractNumId w:val="26"/>
  </w:num>
  <w:num w:numId="24">
    <w:abstractNumId w:val="7"/>
  </w:num>
  <w:num w:numId="25">
    <w:abstractNumId w:val="2"/>
  </w:num>
  <w:num w:numId="26">
    <w:abstractNumId w:val="28"/>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num>
  <w:num w:numId="32">
    <w:abstractNumId w:val="5"/>
  </w:num>
  <w:num w:numId="33">
    <w:abstractNumId w:val="7"/>
  </w:num>
  <w:num w:numId="34">
    <w:abstractNumId w:val="2"/>
  </w:num>
  <w:num w:numId="35">
    <w:abstractNumId w:val="15"/>
  </w:num>
  <w:num w:numId="36">
    <w:abstractNumId w:val="23"/>
  </w:num>
  <w:num w:numId="37">
    <w:abstractNumId w:val="29"/>
  </w:num>
  <w:num w:numId="38">
    <w:abstractNumId w:val="1"/>
  </w:num>
  <w:num w:numId="39">
    <w:abstractNumId w:val="8"/>
  </w:num>
  <w:num w:numId="40">
    <w:abstractNumId w:val="19"/>
  </w:num>
  <w:num w:numId="41">
    <w:abstractNumId w:val="12"/>
  </w:num>
  <w:num w:numId="42">
    <w:abstractNumId w:val="3"/>
  </w:num>
  <w:num w:numId="43">
    <w:abstractNumId w:val="24"/>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D04"/>
    <w:rsid w:val="00000A41"/>
    <w:rsid w:val="00033B98"/>
    <w:rsid w:val="000566BB"/>
    <w:rsid w:val="00065975"/>
    <w:rsid w:val="00074218"/>
    <w:rsid w:val="000A0979"/>
    <w:rsid w:val="000C077E"/>
    <w:rsid w:val="000E2D82"/>
    <w:rsid w:val="0010430C"/>
    <w:rsid w:val="00106F87"/>
    <w:rsid w:val="00116998"/>
    <w:rsid w:val="00125755"/>
    <w:rsid w:val="00170A22"/>
    <w:rsid w:val="00183C96"/>
    <w:rsid w:val="00192185"/>
    <w:rsid w:val="001B29FD"/>
    <w:rsid w:val="001D2501"/>
    <w:rsid w:val="001E480A"/>
    <w:rsid w:val="00220D30"/>
    <w:rsid w:val="002348BF"/>
    <w:rsid w:val="00241674"/>
    <w:rsid w:val="0026722F"/>
    <w:rsid w:val="003130BB"/>
    <w:rsid w:val="00321BC3"/>
    <w:rsid w:val="00332184"/>
    <w:rsid w:val="003361B4"/>
    <w:rsid w:val="0035519F"/>
    <w:rsid w:val="0037623F"/>
    <w:rsid w:val="0039455E"/>
    <w:rsid w:val="003C2AED"/>
    <w:rsid w:val="003D2222"/>
    <w:rsid w:val="003E095C"/>
    <w:rsid w:val="003F64F4"/>
    <w:rsid w:val="00426CE8"/>
    <w:rsid w:val="00444D98"/>
    <w:rsid w:val="004A1721"/>
    <w:rsid w:val="004A28BB"/>
    <w:rsid w:val="004A6C3F"/>
    <w:rsid w:val="004E08C8"/>
    <w:rsid w:val="00507984"/>
    <w:rsid w:val="005259C1"/>
    <w:rsid w:val="00540AA1"/>
    <w:rsid w:val="00577C7C"/>
    <w:rsid w:val="005965A2"/>
    <w:rsid w:val="005A32C5"/>
    <w:rsid w:val="005C0080"/>
    <w:rsid w:val="005F0AAD"/>
    <w:rsid w:val="0061568E"/>
    <w:rsid w:val="0061707C"/>
    <w:rsid w:val="0067204D"/>
    <w:rsid w:val="00681ACB"/>
    <w:rsid w:val="00687D0D"/>
    <w:rsid w:val="006A108E"/>
    <w:rsid w:val="006B66D1"/>
    <w:rsid w:val="006E1800"/>
    <w:rsid w:val="007452A8"/>
    <w:rsid w:val="007569E5"/>
    <w:rsid w:val="007702C8"/>
    <w:rsid w:val="00796648"/>
    <w:rsid w:val="007B09CA"/>
    <w:rsid w:val="007B5639"/>
    <w:rsid w:val="007D1BD2"/>
    <w:rsid w:val="007D5111"/>
    <w:rsid w:val="007E1B79"/>
    <w:rsid w:val="007F0882"/>
    <w:rsid w:val="007F5282"/>
    <w:rsid w:val="00843595"/>
    <w:rsid w:val="00856E32"/>
    <w:rsid w:val="0086499B"/>
    <w:rsid w:val="008F4EA2"/>
    <w:rsid w:val="008F5DF5"/>
    <w:rsid w:val="009247CF"/>
    <w:rsid w:val="00933D04"/>
    <w:rsid w:val="0095360B"/>
    <w:rsid w:val="0095465F"/>
    <w:rsid w:val="0096614F"/>
    <w:rsid w:val="00996D21"/>
    <w:rsid w:val="009A1472"/>
    <w:rsid w:val="009B11FB"/>
    <w:rsid w:val="009C3654"/>
    <w:rsid w:val="009D5575"/>
    <w:rsid w:val="00A55824"/>
    <w:rsid w:val="00AD5E3E"/>
    <w:rsid w:val="00AD7FAA"/>
    <w:rsid w:val="00B01F15"/>
    <w:rsid w:val="00B02384"/>
    <w:rsid w:val="00B038E3"/>
    <w:rsid w:val="00B276C5"/>
    <w:rsid w:val="00B45D3A"/>
    <w:rsid w:val="00B46E3E"/>
    <w:rsid w:val="00B53A32"/>
    <w:rsid w:val="00B54CA4"/>
    <w:rsid w:val="00B774D4"/>
    <w:rsid w:val="00B778A9"/>
    <w:rsid w:val="00BA6192"/>
    <w:rsid w:val="00BB0C88"/>
    <w:rsid w:val="00BB3628"/>
    <w:rsid w:val="00BE3D7E"/>
    <w:rsid w:val="00C22704"/>
    <w:rsid w:val="00C511ED"/>
    <w:rsid w:val="00C70D00"/>
    <w:rsid w:val="00C91BD2"/>
    <w:rsid w:val="00CB0B41"/>
    <w:rsid w:val="00CE73BA"/>
    <w:rsid w:val="00D43B63"/>
    <w:rsid w:val="00D47550"/>
    <w:rsid w:val="00D73916"/>
    <w:rsid w:val="00DA69B5"/>
    <w:rsid w:val="00DE4A76"/>
    <w:rsid w:val="00E10AA3"/>
    <w:rsid w:val="00E133B4"/>
    <w:rsid w:val="00E15067"/>
    <w:rsid w:val="00E22BDA"/>
    <w:rsid w:val="00E3022D"/>
    <w:rsid w:val="00E73DC8"/>
    <w:rsid w:val="00E94EE5"/>
    <w:rsid w:val="00EC632A"/>
    <w:rsid w:val="00F03813"/>
    <w:rsid w:val="00F05F5F"/>
    <w:rsid w:val="00F3120B"/>
    <w:rsid w:val="00F75906"/>
    <w:rsid w:val="00FF66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2A8"/>
    <w:pPr>
      <w:jc w:val="both"/>
    </w:pPr>
  </w:style>
  <w:style w:type="paragraph" w:styleId="Heading1">
    <w:name w:val="heading 1"/>
    <w:basedOn w:val="Normal"/>
    <w:next w:val="Normal"/>
    <w:link w:val="Heading1Char"/>
    <w:uiPriority w:val="9"/>
    <w:qFormat/>
    <w:rsid w:val="00000A41"/>
    <w:pPr>
      <w:keepNext/>
      <w:keepLines/>
      <w:numPr>
        <w:numId w:val="26"/>
      </w:numPr>
      <w:spacing w:before="20" w:after="0" w:line="360" w:lineRule="auto"/>
      <w:jc w:val="center"/>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CB0B41"/>
    <w:pPr>
      <w:keepNext/>
      <w:keepLines/>
      <w:numPr>
        <w:ilvl w:val="1"/>
        <w:numId w:val="26"/>
      </w:numPr>
      <w:spacing w:before="200" w:after="0"/>
      <w:ind w:left="576"/>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CB0B41"/>
    <w:pPr>
      <w:keepNext/>
      <w:keepLines/>
      <w:numPr>
        <w:ilvl w:val="2"/>
        <w:numId w:val="26"/>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933D04"/>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33D04"/>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33D04"/>
    <w:pPr>
      <w:keepNext/>
      <w:keepLines/>
      <w:numPr>
        <w:ilvl w:val="5"/>
        <w:numId w:val="2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33D04"/>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3D04"/>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3D04"/>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0B41"/>
    <w:rPr>
      <w:rFonts w:eastAsiaTheme="majorEastAsia" w:cstheme="majorBidi"/>
      <w:b/>
      <w:bCs/>
    </w:rPr>
  </w:style>
  <w:style w:type="character" w:customStyle="1" w:styleId="Heading2Char">
    <w:name w:val="Heading 2 Char"/>
    <w:basedOn w:val="DefaultParagraphFont"/>
    <w:link w:val="Heading2"/>
    <w:uiPriority w:val="9"/>
    <w:rsid w:val="008F4EA2"/>
    <w:rPr>
      <w:rFonts w:eastAsiaTheme="majorEastAsia" w:cstheme="majorBidi"/>
      <w:b/>
      <w:bCs/>
      <w:sz w:val="32"/>
      <w:szCs w:val="26"/>
    </w:rPr>
  </w:style>
  <w:style w:type="character" w:customStyle="1" w:styleId="Heading1Char">
    <w:name w:val="Heading 1 Char"/>
    <w:basedOn w:val="DefaultParagraphFont"/>
    <w:link w:val="Heading1"/>
    <w:uiPriority w:val="9"/>
    <w:rsid w:val="00000A41"/>
    <w:rPr>
      <w:rFonts w:eastAsiaTheme="majorEastAsia" w:cstheme="majorBidi"/>
      <w:b/>
      <w:bCs/>
      <w:sz w:val="44"/>
      <w:szCs w:val="28"/>
    </w:rPr>
  </w:style>
  <w:style w:type="paragraph" w:styleId="NoSpacing">
    <w:name w:val="No Spacing"/>
    <w:link w:val="NoSpacingChar"/>
    <w:uiPriority w:val="1"/>
    <w:qFormat/>
    <w:rsid w:val="008F4EA2"/>
    <w:pPr>
      <w:spacing w:after="0" w:line="240" w:lineRule="auto"/>
      <w:jc w:val="both"/>
    </w:pPr>
  </w:style>
  <w:style w:type="paragraph" w:styleId="Caption">
    <w:name w:val="caption"/>
    <w:basedOn w:val="Normal"/>
    <w:next w:val="Normal"/>
    <w:uiPriority w:val="35"/>
    <w:unhideWhenUsed/>
    <w:qFormat/>
    <w:rsid w:val="00F05F5F"/>
    <w:pPr>
      <w:spacing w:line="240" w:lineRule="auto"/>
      <w:jc w:val="center"/>
    </w:pPr>
    <w:rPr>
      <w:bCs/>
      <w:szCs w:val="18"/>
    </w:rPr>
  </w:style>
  <w:style w:type="character" w:customStyle="1" w:styleId="Heading4Char">
    <w:name w:val="Heading 4 Char"/>
    <w:basedOn w:val="DefaultParagraphFont"/>
    <w:link w:val="Heading4"/>
    <w:uiPriority w:val="9"/>
    <w:rsid w:val="00933D0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33D0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33D0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33D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3D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33D0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933D04"/>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933D04"/>
    <w:rPr>
      <w:color w:val="0000FF"/>
      <w:u w:val="single"/>
    </w:rPr>
  </w:style>
  <w:style w:type="paragraph" w:styleId="ListParagraph">
    <w:name w:val="List Paragraph"/>
    <w:basedOn w:val="Normal"/>
    <w:uiPriority w:val="34"/>
    <w:qFormat/>
    <w:rsid w:val="00933D04"/>
    <w:pPr>
      <w:ind w:left="720"/>
      <w:contextualSpacing/>
    </w:pPr>
  </w:style>
  <w:style w:type="paragraph" w:styleId="TOCHeading">
    <w:name w:val="TOC Heading"/>
    <w:basedOn w:val="Heading1"/>
    <w:next w:val="Normal"/>
    <w:uiPriority w:val="39"/>
    <w:unhideWhenUsed/>
    <w:qFormat/>
    <w:rsid w:val="00933D04"/>
    <w:pPr>
      <w:numPr>
        <w:numId w:val="0"/>
      </w:numPr>
      <w:spacing w:before="480" w:line="276" w:lineRule="auto"/>
      <w:ind w:left="720" w:hanging="360"/>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933D04"/>
    <w:pPr>
      <w:spacing w:after="100"/>
    </w:pPr>
  </w:style>
  <w:style w:type="paragraph" w:styleId="TOC2">
    <w:name w:val="toc 2"/>
    <w:basedOn w:val="Normal"/>
    <w:next w:val="Normal"/>
    <w:autoRedefine/>
    <w:uiPriority w:val="39"/>
    <w:unhideWhenUsed/>
    <w:rsid w:val="00933D04"/>
    <w:pPr>
      <w:spacing w:after="100"/>
      <w:ind w:left="220"/>
    </w:pPr>
  </w:style>
  <w:style w:type="paragraph" w:styleId="BalloonText">
    <w:name w:val="Balloon Text"/>
    <w:basedOn w:val="Normal"/>
    <w:link w:val="BalloonTextChar"/>
    <w:uiPriority w:val="99"/>
    <w:semiHidden/>
    <w:unhideWhenUsed/>
    <w:rsid w:val="00933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D04"/>
    <w:rPr>
      <w:rFonts w:ascii="Tahoma" w:hAnsi="Tahoma" w:cs="Tahoma"/>
      <w:sz w:val="16"/>
      <w:szCs w:val="16"/>
    </w:rPr>
  </w:style>
  <w:style w:type="numbering" w:customStyle="1" w:styleId="Style1">
    <w:name w:val="Style1"/>
    <w:uiPriority w:val="99"/>
    <w:rsid w:val="00933D04"/>
    <w:pPr>
      <w:numPr>
        <w:numId w:val="16"/>
      </w:numPr>
    </w:pPr>
  </w:style>
  <w:style w:type="numbering" w:customStyle="1" w:styleId="Style2">
    <w:name w:val="Style2"/>
    <w:uiPriority w:val="99"/>
    <w:rsid w:val="00933D04"/>
    <w:pPr>
      <w:numPr>
        <w:numId w:val="17"/>
      </w:numPr>
    </w:pPr>
  </w:style>
  <w:style w:type="character" w:customStyle="1" w:styleId="NoSpacingChar">
    <w:name w:val="No Spacing Char"/>
    <w:basedOn w:val="DefaultParagraphFont"/>
    <w:link w:val="NoSpacing"/>
    <w:uiPriority w:val="1"/>
    <w:rsid w:val="00933D04"/>
  </w:style>
  <w:style w:type="paragraph" w:styleId="Header">
    <w:name w:val="header"/>
    <w:basedOn w:val="Normal"/>
    <w:link w:val="HeaderChar"/>
    <w:uiPriority w:val="99"/>
    <w:unhideWhenUsed/>
    <w:rsid w:val="00933D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D04"/>
  </w:style>
  <w:style w:type="paragraph" w:styleId="Footer">
    <w:name w:val="footer"/>
    <w:basedOn w:val="Normal"/>
    <w:link w:val="FooterChar"/>
    <w:uiPriority w:val="99"/>
    <w:unhideWhenUsed/>
    <w:rsid w:val="00933D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D04"/>
  </w:style>
  <w:style w:type="paragraph" w:styleId="TableofFigures">
    <w:name w:val="table of figures"/>
    <w:basedOn w:val="Normal"/>
    <w:next w:val="Normal"/>
    <w:uiPriority w:val="99"/>
    <w:unhideWhenUsed/>
    <w:rsid w:val="00933D04"/>
    <w:pPr>
      <w:spacing w:after="0"/>
    </w:pPr>
  </w:style>
  <w:style w:type="table" w:styleId="TableGrid">
    <w:name w:val="Table Grid"/>
    <w:basedOn w:val="TableNormal"/>
    <w:uiPriority w:val="59"/>
    <w:rsid w:val="00933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933D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3D04"/>
    <w:rPr>
      <w:sz w:val="20"/>
      <w:szCs w:val="20"/>
    </w:rPr>
  </w:style>
  <w:style w:type="character" w:styleId="EndnoteReference">
    <w:name w:val="endnote reference"/>
    <w:basedOn w:val="DefaultParagraphFont"/>
    <w:uiPriority w:val="99"/>
    <w:semiHidden/>
    <w:unhideWhenUsed/>
    <w:rsid w:val="00933D04"/>
    <w:rPr>
      <w:vertAlign w:val="superscript"/>
    </w:rPr>
  </w:style>
  <w:style w:type="paragraph" w:styleId="FootnoteText">
    <w:name w:val="footnote text"/>
    <w:basedOn w:val="Normal"/>
    <w:link w:val="FootnoteTextChar"/>
    <w:uiPriority w:val="99"/>
    <w:semiHidden/>
    <w:unhideWhenUsed/>
    <w:rsid w:val="00933D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3D04"/>
    <w:rPr>
      <w:sz w:val="20"/>
      <w:szCs w:val="20"/>
    </w:rPr>
  </w:style>
  <w:style w:type="character" w:styleId="FootnoteReference">
    <w:name w:val="footnote reference"/>
    <w:basedOn w:val="DefaultParagraphFont"/>
    <w:uiPriority w:val="99"/>
    <w:semiHidden/>
    <w:unhideWhenUsed/>
    <w:rsid w:val="00933D04"/>
    <w:rPr>
      <w:vertAlign w:val="superscript"/>
    </w:rPr>
  </w:style>
  <w:style w:type="character" w:styleId="FollowedHyperlink">
    <w:name w:val="FollowedHyperlink"/>
    <w:basedOn w:val="DefaultParagraphFont"/>
    <w:uiPriority w:val="99"/>
    <w:semiHidden/>
    <w:unhideWhenUsed/>
    <w:rsid w:val="007452A8"/>
    <w:rPr>
      <w:color w:val="800080" w:themeColor="followedHyperlink"/>
      <w:u w:val="single"/>
    </w:rPr>
  </w:style>
  <w:style w:type="paragraph" w:styleId="Title">
    <w:name w:val="Title"/>
    <w:basedOn w:val="Normal"/>
    <w:next w:val="Normal"/>
    <w:link w:val="TitleChar"/>
    <w:uiPriority w:val="10"/>
    <w:qFormat/>
    <w:rsid w:val="003130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30B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2A8"/>
    <w:pPr>
      <w:jc w:val="both"/>
    </w:pPr>
  </w:style>
  <w:style w:type="paragraph" w:styleId="Heading1">
    <w:name w:val="heading 1"/>
    <w:basedOn w:val="Normal"/>
    <w:next w:val="Normal"/>
    <w:link w:val="Heading1Char"/>
    <w:uiPriority w:val="9"/>
    <w:qFormat/>
    <w:rsid w:val="00000A41"/>
    <w:pPr>
      <w:keepNext/>
      <w:keepLines/>
      <w:numPr>
        <w:numId w:val="26"/>
      </w:numPr>
      <w:spacing w:before="20" w:after="0" w:line="360" w:lineRule="auto"/>
      <w:jc w:val="center"/>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CB0B41"/>
    <w:pPr>
      <w:keepNext/>
      <w:keepLines/>
      <w:numPr>
        <w:ilvl w:val="1"/>
        <w:numId w:val="26"/>
      </w:numPr>
      <w:spacing w:before="200" w:after="0"/>
      <w:ind w:left="576"/>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CB0B41"/>
    <w:pPr>
      <w:keepNext/>
      <w:keepLines/>
      <w:numPr>
        <w:ilvl w:val="2"/>
        <w:numId w:val="26"/>
      </w:numPr>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933D04"/>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33D04"/>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33D04"/>
    <w:pPr>
      <w:keepNext/>
      <w:keepLines/>
      <w:numPr>
        <w:ilvl w:val="5"/>
        <w:numId w:val="2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33D04"/>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3D04"/>
    <w:pPr>
      <w:keepNext/>
      <w:keepLines/>
      <w:numPr>
        <w:ilvl w:val="7"/>
        <w:numId w:val="2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3D04"/>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0B41"/>
    <w:rPr>
      <w:rFonts w:eastAsiaTheme="majorEastAsia" w:cstheme="majorBidi"/>
      <w:b/>
      <w:bCs/>
    </w:rPr>
  </w:style>
  <w:style w:type="character" w:customStyle="1" w:styleId="Heading2Char">
    <w:name w:val="Heading 2 Char"/>
    <w:basedOn w:val="DefaultParagraphFont"/>
    <w:link w:val="Heading2"/>
    <w:uiPriority w:val="9"/>
    <w:rsid w:val="008F4EA2"/>
    <w:rPr>
      <w:rFonts w:eastAsiaTheme="majorEastAsia" w:cstheme="majorBidi"/>
      <w:b/>
      <w:bCs/>
      <w:sz w:val="32"/>
      <w:szCs w:val="26"/>
    </w:rPr>
  </w:style>
  <w:style w:type="character" w:customStyle="1" w:styleId="Heading1Char">
    <w:name w:val="Heading 1 Char"/>
    <w:basedOn w:val="DefaultParagraphFont"/>
    <w:link w:val="Heading1"/>
    <w:uiPriority w:val="9"/>
    <w:rsid w:val="00000A41"/>
    <w:rPr>
      <w:rFonts w:eastAsiaTheme="majorEastAsia" w:cstheme="majorBidi"/>
      <w:b/>
      <w:bCs/>
      <w:sz w:val="44"/>
      <w:szCs w:val="28"/>
    </w:rPr>
  </w:style>
  <w:style w:type="paragraph" w:styleId="NoSpacing">
    <w:name w:val="No Spacing"/>
    <w:link w:val="NoSpacingChar"/>
    <w:uiPriority w:val="1"/>
    <w:qFormat/>
    <w:rsid w:val="008F4EA2"/>
    <w:pPr>
      <w:spacing w:after="0" w:line="240" w:lineRule="auto"/>
      <w:jc w:val="both"/>
    </w:pPr>
  </w:style>
  <w:style w:type="paragraph" w:styleId="Caption">
    <w:name w:val="caption"/>
    <w:basedOn w:val="Normal"/>
    <w:next w:val="Normal"/>
    <w:uiPriority w:val="35"/>
    <w:unhideWhenUsed/>
    <w:qFormat/>
    <w:rsid w:val="00F05F5F"/>
    <w:pPr>
      <w:spacing w:line="240" w:lineRule="auto"/>
      <w:jc w:val="center"/>
    </w:pPr>
    <w:rPr>
      <w:bCs/>
      <w:szCs w:val="18"/>
    </w:rPr>
  </w:style>
  <w:style w:type="character" w:customStyle="1" w:styleId="Heading4Char">
    <w:name w:val="Heading 4 Char"/>
    <w:basedOn w:val="DefaultParagraphFont"/>
    <w:link w:val="Heading4"/>
    <w:uiPriority w:val="9"/>
    <w:rsid w:val="00933D0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33D0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33D0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33D0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3D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33D0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933D04"/>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933D04"/>
    <w:rPr>
      <w:color w:val="0000FF"/>
      <w:u w:val="single"/>
    </w:rPr>
  </w:style>
  <w:style w:type="paragraph" w:styleId="ListParagraph">
    <w:name w:val="List Paragraph"/>
    <w:basedOn w:val="Normal"/>
    <w:uiPriority w:val="34"/>
    <w:qFormat/>
    <w:rsid w:val="00933D04"/>
    <w:pPr>
      <w:ind w:left="720"/>
      <w:contextualSpacing/>
    </w:pPr>
  </w:style>
  <w:style w:type="paragraph" w:styleId="TOCHeading">
    <w:name w:val="TOC Heading"/>
    <w:basedOn w:val="Heading1"/>
    <w:next w:val="Normal"/>
    <w:uiPriority w:val="39"/>
    <w:unhideWhenUsed/>
    <w:qFormat/>
    <w:rsid w:val="00933D04"/>
    <w:pPr>
      <w:numPr>
        <w:numId w:val="0"/>
      </w:numPr>
      <w:spacing w:before="480" w:line="276" w:lineRule="auto"/>
      <w:ind w:left="720" w:hanging="360"/>
      <w:jc w:val="left"/>
      <w:outlineLvl w:val="9"/>
    </w:pPr>
    <w:rPr>
      <w:rFonts w:asciiTheme="majorHAnsi" w:hAnsiTheme="majorHAnsi"/>
      <w:color w:val="365F91" w:themeColor="accent1" w:themeShade="BF"/>
      <w:sz w:val="28"/>
      <w:lang w:val="en-US" w:eastAsia="ja-JP"/>
    </w:rPr>
  </w:style>
  <w:style w:type="paragraph" w:styleId="TOC1">
    <w:name w:val="toc 1"/>
    <w:basedOn w:val="Normal"/>
    <w:next w:val="Normal"/>
    <w:autoRedefine/>
    <w:uiPriority w:val="39"/>
    <w:unhideWhenUsed/>
    <w:rsid w:val="00933D04"/>
    <w:pPr>
      <w:spacing w:after="100"/>
    </w:pPr>
  </w:style>
  <w:style w:type="paragraph" w:styleId="TOC2">
    <w:name w:val="toc 2"/>
    <w:basedOn w:val="Normal"/>
    <w:next w:val="Normal"/>
    <w:autoRedefine/>
    <w:uiPriority w:val="39"/>
    <w:unhideWhenUsed/>
    <w:rsid w:val="00933D04"/>
    <w:pPr>
      <w:spacing w:after="100"/>
      <w:ind w:left="220"/>
    </w:pPr>
  </w:style>
  <w:style w:type="paragraph" w:styleId="BalloonText">
    <w:name w:val="Balloon Text"/>
    <w:basedOn w:val="Normal"/>
    <w:link w:val="BalloonTextChar"/>
    <w:uiPriority w:val="99"/>
    <w:semiHidden/>
    <w:unhideWhenUsed/>
    <w:rsid w:val="00933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D04"/>
    <w:rPr>
      <w:rFonts w:ascii="Tahoma" w:hAnsi="Tahoma" w:cs="Tahoma"/>
      <w:sz w:val="16"/>
      <w:szCs w:val="16"/>
    </w:rPr>
  </w:style>
  <w:style w:type="numbering" w:customStyle="1" w:styleId="Style1">
    <w:name w:val="Style1"/>
    <w:uiPriority w:val="99"/>
    <w:rsid w:val="00933D04"/>
    <w:pPr>
      <w:numPr>
        <w:numId w:val="16"/>
      </w:numPr>
    </w:pPr>
  </w:style>
  <w:style w:type="numbering" w:customStyle="1" w:styleId="Style2">
    <w:name w:val="Style2"/>
    <w:uiPriority w:val="99"/>
    <w:rsid w:val="00933D04"/>
    <w:pPr>
      <w:numPr>
        <w:numId w:val="17"/>
      </w:numPr>
    </w:pPr>
  </w:style>
  <w:style w:type="character" w:customStyle="1" w:styleId="NoSpacingChar">
    <w:name w:val="No Spacing Char"/>
    <w:basedOn w:val="DefaultParagraphFont"/>
    <w:link w:val="NoSpacing"/>
    <w:uiPriority w:val="1"/>
    <w:rsid w:val="00933D04"/>
  </w:style>
  <w:style w:type="paragraph" w:styleId="Header">
    <w:name w:val="header"/>
    <w:basedOn w:val="Normal"/>
    <w:link w:val="HeaderChar"/>
    <w:uiPriority w:val="99"/>
    <w:unhideWhenUsed/>
    <w:rsid w:val="00933D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D04"/>
  </w:style>
  <w:style w:type="paragraph" w:styleId="Footer">
    <w:name w:val="footer"/>
    <w:basedOn w:val="Normal"/>
    <w:link w:val="FooterChar"/>
    <w:uiPriority w:val="99"/>
    <w:unhideWhenUsed/>
    <w:rsid w:val="00933D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D04"/>
  </w:style>
  <w:style w:type="paragraph" w:styleId="TableofFigures">
    <w:name w:val="table of figures"/>
    <w:basedOn w:val="Normal"/>
    <w:next w:val="Normal"/>
    <w:uiPriority w:val="99"/>
    <w:unhideWhenUsed/>
    <w:rsid w:val="00933D04"/>
    <w:pPr>
      <w:spacing w:after="0"/>
    </w:pPr>
  </w:style>
  <w:style w:type="table" w:styleId="TableGrid">
    <w:name w:val="Table Grid"/>
    <w:basedOn w:val="TableNormal"/>
    <w:uiPriority w:val="59"/>
    <w:rsid w:val="00933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933D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3D04"/>
    <w:rPr>
      <w:sz w:val="20"/>
      <w:szCs w:val="20"/>
    </w:rPr>
  </w:style>
  <w:style w:type="character" w:styleId="EndnoteReference">
    <w:name w:val="endnote reference"/>
    <w:basedOn w:val="DefaultParagraphFont"/>
    <w:uiPriority w:val="99"/>
    <w:semiHidden/>
    <w:unhideWhenUsed/>
    <w:rsid w:val="00933D04"/>
    <w:rPr>
      <w:vertAlign w:val="superscript"/>
    </w:rPr>
  </w:style>
  <w:style w:type="paragraph" w:styleId="FootnoteText">
    <w:name w:val="footnote text"/>
    <w:basedOn w:val="Normal"/>
    <w:link w:val="FootnoteTextChar"/>
    <w:uiPriority w:val="99"/>
    <w:semiHidden/>
    <w:unhideWhenUsed/>
    <w:rsid w:val="00933D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3D04"/>
    <w:rPr>
      <w:sz w:val="20"/>
      <w:szCs w:val="20"/>
    </w:rPr>
  </w:style>
  <w:style w:type="character" w:styleId="FootnoteReference">
    <w:name w:val="footnote reference"/>
    <w:basedOn w:val="DefaultParagraphFont"/>
    <w:uiPriority w:val="99"/>
    <w:semiHidden/>
    <w:unhideWhenUsed/>
    <w:rsid w:val="00933D04"/>
    <w:rPr>
      <w:vertAlign w:val="superscript"/>
    </w:rPr>
  </w:style>
  <w:style w:type="character" w:styleId="FollowedHyperlink">
    <w:name w:val="FollowedHyperlink"/>
    <w:basedOn w:val="DefaultParagraphFont"/>
    <w:uiPriority w:val="99"/>
    <w:semiHidden/>
    <w:unhideWhenUsed/>
    <w:rsid w:val="007452A8"/>
    <w:rPr>
      <w:color w:val="800080" w:themeColor="followedHyperlink"/>
      <w:u w:val="single"/>
    </w:rPr>
  </w:style>
  <w:style w:type="paragraph" w:styleId="Title">
    <w:name w:val="Title"/>
    <w:basedOn w:val="Normal"/>
    <w:next w:val="Normal"/>
    <w:link w:val="TitleChar"/>
    <w:uiPriority w:val="10"/>
    <w:qFormat/>
    <w:rsid w:val="003130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30B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189297">
      <w:bodyDiv w:val="1"/>
      <w:marLeft w:val="0"/>
      <w:marRight w:val="0"/>
      <w:marTop w:val="0"/>
      <w:marBottom w:val="0"/>
      <w:divBdr>
        <w:top w:val="none" w:sz="0" w:space="0" w:color="auto"/>
        <w:left w:val="none" w:sz="0" w:space="0" w:color="auto"/>
        <w:bottom w:val="none" w:sz="0" w:space="0" w:color="auto"/>
        <w:right w:val="none" w:sz="0" w:space="0" w:color="auto"/>
      </w:divBdr>
    </w:div>
    <w:div w:id="201600745">
      <w:bodyDiv w:val="1"/>
      <w:marLeft w:val="0"/>
      <w:marRight w:val="0"/>
      <w:marTop w:val="0"/>
      <w:marBottom w:val="0"/>
      <w:divBdr>
        <w:top w:val="none" w:sz="0" w:space="0" w:color="auto"/>
        <w:left w:val="none" w:sz="0" w:space="0" w:color="auto"/>
        <w:bottom w:val="none" w:sz="0" w:space="0" w:color="auto"/>
        <w:right w:val="none" w:sz="0" w:space="0" w:color="auto"/>
      </w:divBdr>
    </w:div>
    <w:div w:id="247008899">
      <w:bodyDiv w:val="1"/>
      <w:marLeft w:val="0"/>
      <w:marRight w:val="0"/>
      <w:marTop w:val="0"/>
      <w:marBottom w:val="0"/>
      <w:divBdr>
        <w:top w:val="none" w:sz="0" w:space="0" w:color="auto"/>
        <w:left w:val="none" w:sz="0" w:space="0" w:color="auto"/>
        <w:bottom w:val="none" w:sz="0" w:space="0" w:color="auto"/>
        <w:right w:val="none" w:sz="0" w:space="0" w:color="auto"/>
      </w:divBdr>
    </w:div>
    <w:div w:id="581914856">
      <w:bodyDiv w:val="1"/>
      <w:marLeft w:val="0"/>
      <w:marRight w:val="0"/>
      <w:marTop w:val="0"/>
      <w:marBottom w:val="0"/>
      <w:divBdr>
        <w:top w:val="none" w:sz="0" w:space="0" w:color="auto"/>
        <w:left w:val="none" w:sz="0" w:space="0" w:color="auto"/>
        <w:bottom w:val="none" w:sz="0" w:space="0" w:color="auto"/>
        <w:right w:val="none" w:sz="0" w:space="0" w:color="auto"/>
      </w:divBdr>
    </w:div>
    <w:div w:id="678311109">
      <w:bodyDiv w:val="1"/>
      <w:marLeft w:val="0"/>
      <w:marRight w:val="0"/>
      <w:marTop w:val="0"/>
      <w:marBottom w:val="0"/>
      <w:divBdr>
        <w:top w:val="none" w:sz="0" w:space="0" w:color="auto"/>
        <w:left w:val="none" w:sz="0" w:space="0" w:color="auto"/>
        <w:bottom w:val="none" w:sz="0" w:space="0" w:color="auto"/>
        <w:right w:val="none" w:sz="0" w:space="0" w:color="auto"/>
      </w:divBdr>
    </w:div>
    <w:div w:id="682973963">
      <w:bodyDiv w:val="1"/>
      <w:marLeft w:val="0"/>
      <w:marRight w:val="0"/>
      <w:marTop w:val="0"/>
      <w:marBottom w:val="0"/>
      <w:divBdr>
        <w:top w:val="none" w:sz="0" w:space="0" w:color="auto"/>
        <w:left w:val="none" w:sz="0" w:space="0" w:color="auto"/>
        <w:bottom w:val="none" w:sz="0" w:space="0" w:color="auto"/>
        <w:right w:val="none" w:sz="0" w:space="0" w:color="auto"/>
      </w:divBdr>
    </w:div>
    <w:div w:id="689405879">
      <w:bodyDiv w:val="1"/>
      <w:marLeft w:val="0"/>
      <w:marRight w:val="0"/>
      <w:marTop w:val="0"/>
      <w:marBottom w:val="0"/>
      <w:divBdr>
        <w:top w:val="none" w:sz="0" w:space="0" w:color="auto"/>
        <w:left w:val="none" w:sz="0" w:space="0" w:color="auto"/>
        <w:bottom w:val="none" w:sz="0" w:space="0" w:color="auto"/>
        <w:right w:val="none" w:sz="0" w:space="0" w:color="auto"/>
      </w:divBdr>
    </w:div>
    <w:div w:id="830172702">
      <w:bodyDiv w:val="1"/>
      <w:marLeft w:val="0"/>
      <w:marRight w:val="0"/>
      <w:marTop w:val="0"/>
      <w:marBottom w:val="0"/>
      <w:divBdr>
        <w:top w:val="none" w:sz="0" w:space="0" w:color="auto"/>
        <w:left w:val="none" w:sz="0" w:space="0" w:color="auto"/>
        <w:bottom w:val="none" w:sz="0" w:space="0" w:color="auto"/>
        <w:right w:val="none" w:sz="0" w:space="0" w:color="auto"/>
      </w:divBdr>
    </w:div>
    <w:div w:id="917593668">
      <w:bodyDiv w:val="1"/>
      <w:marLeft w:val="0"/>
      <w:marRight w:val="0"/>
      <w:marTop w:val="0"/>
      <w:marBottom w:val="0"/>
      <w:divBdr>
        <w:top w:val="none" w:sz="0" w:space="0" w:color="auto"/>
        <w:left w:val="none" w:sz="0" w:space="0" w:color="auto"/>
        <w:bottom w:val="none" w:sz="0" w:space="0" w:color="auto"/>
        <w:right w:val="none" w:sz="0" w:space="0" w:color="auto"/>
      </w:divBdr>
    </w:div>
    <w:div w:id="1055399172">
      <w:bodyDiv w:val="1"/>
      <w:marLeft w:val="0"/>
      <w:marRight w:val="0"/>
      <w:marTop w:val="0"/>
      <w:marBottom w:val="0"/>
      <w:divBdr>
        <w:top w:val="none" w:sz="0" w:space="0" w:color="auto"/>
        <w:left w:val="none" w:sz="0" w:space="0" w:color="auto"/>
        <w:bottom w:val="none" w:sz="0" w:space="0" w:color="auto"/>
        <w:right w:val="none" w:sz="0" w:space="0" w:color="auto"/>
      </w:divBdr>
    </w:div>
    <w:div w:id="1096363598">
      <w:bodyDiv w:val="1"/>
      <w:marLeft w:val="0"/>
      <w:marRight w:val="0"/>
      <w:marTop w:val="0"/>
      <w:marBottom w:val="0"/>
      <w:divBdr>
        <w:top w:val="none" w:sz="0" w:space="0" w:color="auto"/>
        <w:left w:val="none" w:sz="0" w:space="0" w:color="auto"/>
        <w:bottom w:val="none" w:sz="0" w:space="0" w:color="auto"/>
        <w:right w:val="none" w:sz="0" w:space="0" w:color="auto"/>
      </w:divBdr>
    </w:div>
    <w:div w:id="1270747005">
      <w:bodyDiv w:val="1"/>
      <w:marLeft w:val="0"/>
      <w:marRight w:val="0"/>
      <w:marTop w:val="0"/>
      <w:marBottom w:val="0"/>
      <w:divBdr>
        <w:top w:val="none" w:sz="0" w:space="0" w:color="auto"/>
        <w:left w:val="none" w:sz="0" w:space="0" w:color="auto"/>
        <w:bottom w:val="none" w:sz="0" w:space="0" w:color="auto"/>
        <w:right w:val="none" w:sz="0" w:space="0" w:color="auto"/>
      </w:divBdr>
    </w:div>
    <w:div w:id="1298873662">
      <w:bodyDiv w:val="1"/>
      <w:marLeft w:val="0"/>
      <w:marRight w:val="0"/>
      <w:marTop w:val="0"/>
      <w:marBottom w:val="0"/>
      <w:divBdr>
        <w:top w:val="none" w:sz="0" w:space="0" w:color="auto"/>
        <w:left w:val="none" w:sz="0" w:space="0" w:color="auto"/>
        <w:bottom w:val="none" w:sz="0" w:space="0" w:color="auto"/>
        <w:right w:val="none" w:sz="0" w:space="0" w:color="auto"/>
      </w:divBdr>
    </w:div>
    <w:div w:id="1309019742">
      <w:bodyDiv w:val="1"/>
      <w:marLeft w:val="0"/>
      <w:marRight w:val="0"/>
      <w:marTop w:val="0"/>
      <w:marBottom w:val="0"/>
      <w:divBdr>
        <w:top w:val="none" w:sz="0" w:space="0" w:color="auto"/>
        <w:left w:val="none" w:sz="0" w:space="0" w:color="auto"/>
        <w:bottom w:val="none" w:sz="0" w:space="0" w:color="auto"/>
        <w:right w:val="none" w:sz="0" w:space="0" w:color="auto"/>
      </w:divBdr>
    </w:div>
    <w:div w:id="1355764712">
      <w:bodyDiv w:val="1"/>
      <w:marLeft w:val="0"/>
      <w:marRight w:val="0"/>
      <w:marTop w:val="0"/>
      <w:marBottom w:val="0"/>
      <w:divBdr>
        <w:top w:val="none" w:sz="0" w:space="0" w:color="auto"/>
        <w:left w:val="none" w:sz="0" w:space="0" w:color="auto"/>
        <w:bottom w:val="none" w:sz="0" w:space="0" w:color="auto"/>
        <w:right w:val="none" w:sz="0" w:space="0" w:color="auto"/>
      </w:divBdr>
    </w:div>
    <w:div w:id="1355770333">
      <w:bodyDiv w:val="1"/>
      <w:marLeft w:val="0"/>
      <w:marRight w:val="0"/>
      <w:marTop w:val="0"/>
      <w:marBottom w:val="0"/>
      <w:divBdr>
        <w:top w:val="none" w:sz="0" w:space="0" w:color="auto"/>
        <w:left w:val="none" w:sz="0" w:space="0" w:color="auto"/>
        <w:bottom w:val="none" w:sz="0" w:space="0" w:color="auto"/>
        <w:right w:val="none" w:sz="0" w:space="0" w:color="auto"/>
      </w:divBdr>
    </w:div>
    <w:div w:id="1799756681">
      <w:bodyDiv w:val="1"/>
      <w:marLeft w:val="0"/>
      <w:marRight w:val="0"/>
      <w:marTop w:val="0"/>
      <w:marBottom w:val="0"/>
      <w:divBdr>
        <w:top w:val="none" w:sz="0" w:space="0" w:color="auto"/>
        <w:left w:val="none" w:sz="0" w:space="0" w:color="auto"/>
        <w:bottom w:val="none" w:sz="0" w:space="0" w:color="auto"/>
        <w:right w:val="none" w:sz="0" w:space="0" w:color="auto"/>
      </w:divBdr>
    </w:div>
    <w:div w:id="1949582439">
      <w:bodyDiv w:val="1"/>
      <w:marLeft w:val="0"/>
      <w:marRight w:val="0"/>
      <w:marTop w:val="0"/>
      <w:marBottom w:val="0"/>
      <w:divBdr>
        <w:top w:val="none" w:sz="0" w:space="0" w:color="auto"/>
        <w:left w:val="none" w:sz="0" w:space="0" w:color="auto"/>
        <w:bottom w:val="none" w:sz="0" w:space="0" w:color="auto"/>
        <w:right w:val="none" w:sz="0" w:space="0" w:color="auto"/>
      </w:divBdr>
    </w:div>
    <w:div w:id="1957448712">
      <w:bodyDiv w:val="1"/>
      <w:marLeft w:val="0"/>
      <w:marRight w:val="0"/>
      <w:marTop w:val="0"/>
      <w:marBottom w:val="0"/>
      <w:divBdr>
        <w:top w:val="none" w:sz="0" w:space="0" w:color="auto"/>
        <w:left w:val="none" w:sz="0" w:space="0" w:color="auto"/>
        <w:bottom w:val="none" w:sz="0" w:space="0" w:color="auto"/>
        <w:right w:val="none" w:sz="0" w:space="0" w:color="auto"/>
      </w:divBdr>
    </w:div>
    <w:div w:id="1990665695">
      <w:bodyDiv w:val="1"/>
      <w:marLeft w:val="0"/>
      <w:marRight w:val="0"/>
      <w:marTop w:val="0"/>
      <w:marBottom w:val="0"/>
      <w:divBdr>
        <w:top w:val="none" w:sz="0" w:space="0" w:color="auto"/>
        <w:left w:val="none" w:sz="0" w:space="0" w:color="auto"/>
        <w:bottom w:val="none" w:sz="0" w:space="0" w:color="auto"/>
        <w:right w:val="none" w:sz="0" w:space="0" w:color="auto"/>
      </w:divBdr>
    </w:div>
    <w:div w:id="2060011364">
      <w:bodyDiv w:val="1"/>
      <w:marLeft w:val="0"/>
      <w:marRight w:val="0"/>
      <w:marTop w:val="0"/>
      <w:marBottom w:val="0"/>
      <w:divBdr>
        <w:top w:val="none" w:sz="0" w:space="0" w:color="auto"/>
        <w:left w:val="none" w:sz="0" w:space="0" w:color="auto"/>
        <w:bottom w:val="none" w:sz="0" w:space="0" w:color="auto"/>
        <w:right w:val="none" w:sz="0" w:space="0" w:color="auto"/>
      </w:divBdr>
    </w:div>
    <w:div w:id="207187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4AD3DB-CB9F-4E4A-BA51-DCF7416FE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9</Pages>
  <Words>1798</Words>
  <Characters>10253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Design History</vt:lpstr>
    </vt:vector>
  </TitlesOfParts>
  <Company>BLUEsat UNSW Student Satellite Project</Company>
  <LinksUpToDate>false</LinksUpToDate>
  <CharactersWithSpaces>12027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Battery Charge Regulator</dc:title>
  <dc:subject>The Redesign of the BLUEsat Battery Charge Regulator Subsystem</dc:subject>
  <dc:creator>Thien Nguyen</dc:creator>
  <cp:lastModifiedBy>Thien Nguyen</cp:lastModifiedBy>
  <cp:revision>9</cp:revision>
  <dcterms:created xsi:type="dcterms:W3CDTF">2011-11-29T03:53:00Z</dcterms:created>
  <dcterms:modified xsi:type="dcterms:W3CDTF">2011-12-01T01:01:00Z</dcterms:modified>
</cp:coreProperties>
</file>