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1B" w:rsidRDefault="004A2D1F" w:rsidP="004A2D1F">
      <w:pPr>
        <w:pStyle w:val="Title"/>
        <w:rPr>
          <w:lang w:val="en-US"/>
        </w:rPr>
      </w:pPr>
      <w:proofErr w:type="spellStart"/>
      <w:r>
        <w:rPr>
          <w:lang w:val="en-US"/>
        </w:rPr>
        <w:t>BLUEsat</w:t>
      </w:r>
      <w:proofErr w:type="spellEnd"/>
      <w:r>
        <w:rPr>
          <w:lang w:val="en-US"/>
        </w:rPr>
        <w:t xml:space="preserve"> SVN Readme</w:t>
      </w:r>
    </w:p>
    <w:p w:rsidR="004A2D1F" w:rsidRDefault="004A2D1F" w:rsidP="004A2D1F">
      <w:pPr>
        <w:rPr>
          <w:lang w:val="en-US"/>
        </w:rPr>
      </w:pPr>
      <w:r>
        <w:rPr>
          <w:lang w:val="en-US"/>
        </w:rPr>
        <w:t xml:space="preserve">The following is a guide to navigate the </w:t>
      </w:r>
      <w:proofErr w:type="spellStart"/>
      <w:r>
        <w:rPr>
          <w:lang w:val="en-US"/>
        </w:rPr>
        <w:t>BLUEsat</w:t>
      </w:r>
      <w:proofErr w:type="spellEnd"/>
      <w:r>
        <w:rPr>
          <w:lang w:val="en-US"/>
        </w:rPr>
        <w:t xml:space="preserve"> documentation r</w:t>
      </w:r>
      <w:bookmarkStart w:id="0" w:name="_GoBack"/>
      <w:bookmarkEnd w:id="0"/>
      <w:r>
        <w:rPr>
          <w:lang w:val="en-US"/>
        </w:rPr>
        <w:t>epository.</w:t>
      </w:r>
    </w:p>
    <w:p w:rsidR="004A2D1F" w:rsidRDefault="004A2D1F" w:rsidP="004A2D1F">
      <w:pPr>
        <w:pStyle w:val="Heading1"/>
        <w:rPr>
          <w:lang w:val="en-US"/>
        </w:rPr>
      </w:pPr>
      <w:r>
        <w:rPr>
          <w:lang w:val="en-US"/>
        </w:rPr>
        <w:t>Technical Documentation</w:t>
      </w:r>
    </w:p>
    <w:p w:rsidR="004A2D1F" w:rsidRDefault="004A2D1F" w:rsidP="004A2D1F">
      <w:pPr>
        <w:rPr>
          <w:lang w:val="en-US"/>
        </w:rPr>
      </w:pPr>
      <w:r>
        <w:rPr>
          <w:lang w:val="en-US"/>
        </w:rPr>
        <w:t>All technical documentation, including schematics and test reports have been organized according to their respective locations on the product tree.</w:t>
      </w:r>
      <w:r w:rsidR="00D50570">
        <w:rPr>
          <w:lang w:val="en-US"/>
        </w:rPr>
        <w:t xml:space="preserve"> The product tree is found in the main folder, GENN0004v1.1ProductTree.pdf.</w:t>
      </w:r>
    </w:p>
    <w:p w:rsidR="004A2D1F" w:rsidRDefault="004A2D1F" w:rsidP="004A2D1F">
      <w:pPr>
        <w:rPr>
          <w:lang w:val="en-US"/>
        </w:rPr>
      </w:pPr>
      <w:r>
        <w:rPr>
          <w:lang w:val="en-US"/>
        </w:rPr>
        <w:t>ListOfDrawings.csv contains a list of all drawings in the project. The final column of ListOfDrawings.CSV references each drawing to the relevant product point. The drawing will be stored in the folder for this product point.</w:t>
      </w:r>
    </w:p>
    <w:p w:rsidR="004A2D1F" w:rsidRDefault="004A2D1F" w:rsidP="004A2D1F">
      <w:pPr>
        <w:rPr>
          <w:lang w:val="en-US"/>
        </w:rPr>
      </w:pPr>
      <w:r>
        <w:rPr>
          <w:lang w:val="en-US"/>
        </w:rPr>
        <w:t>For example:</w:t>
      </w:r>
    </w:p>
    <w:tbl>
      <w:tblPr>
        <w:tblStyle w:val="TableGrid"/>
        <w:tblW w:w="8788" w:type="dxa"/>
        <w:tblLook w:val="04A0" w:firstRow="1" w:lastRow="0" w:firstColumn="1" w:lastColumn="0" w:noHBand="0" w:noVBand="1"/>
      </w:tblPr>
      <w:tblGrid>
        <w:gridCol w:w="1526"/>
        <w:gridCol w:w="1134"/>
        <w:gridCol w:w="2660"/>
        <w:gridCol w:w="1734"/>
        <w:gridCol w:w="1734"/>
      </w:tblGrid>
      <w:tr w:rsidR="004A2D1F" w:rsidRPr="004A2D1F" w:rsidTr="003112A4">
        <w:trPr>
          <w:trHeight w:val="300"/>
        </w:trPr>
        <w:tc>
          <w:tcPr>
            <w:tcW w:w="1526" w:type="dxa"/>
            <w:noWrap/>
            <w:hideMark/>
          </w:tcPr>
          <w:p w:rsidR="004A2D1F" w:rsidRPr="004A2D1F" w:rsidRDefault="004A2D1F">
            <w:r w:rsidRPr="004A2D1F">
              <w:t>Drawing No.</w:t>
            </w:r>
          </w:p>
        </w:tc>
        <w:tc>
          <w:tcPr>
            <w:tcW w:w="1134" w:type="dxa"/>
            <w:noWrap/>
            <w:hideMark/>
          </w:tcPr>
          <w:p w:rsidR="004A2D1F" w:rsidRPr="004A2D1F" w:rsidRDefault="004A2D1F">
            <w:r w:rsidRPr="004A2D1F">
              <w:t>Title</w:t>
            </w:r>
          </w:p>
        </w:tc>
        <w:tc>
          <w:tcPr>
            <w:tcW w:w="2660" w:type="dxa"/>
            <w:noWrap/>
            <w:hideMark/>
          </w:tcPr>
          <w:p w:rsidR="004A2D1F" w:rsidRPr="004A2D1F" w:rsidRDefault="004A2D1F">
            <w:r w:rsidRPr="004A2D1F">
              <w:t>Description</w:t>
            </w:r>
          </w:p>
        </w:tc>
        <w:tc>
          <w:tcPr>
            <w:tcW w:w="1734" w:type="dxa"/>
            <w:noWrap/>
            <w:hideMark/>
          </w:tcPr>
          <w:p w:rsidR="004A2D1F" w:rsidRPr="004A2D1F" w:rsidRDefault="004A2D1F">
            <w:r w:rsidRPr="004A2D1F">
              <w:t>Author</w:t>
            </w:r>
          </w:p>
        </w:tc>
        <w:tc>
          <w:tcPr>
            <w:tcW w:w="1734" w:type="dxa"/>
            <w:noWrap/>
            <w:hideMark/>
          </w:tcPr>
          <w:p w:rsidR="004A2D1F" w:rsidRPr="004A2D1F" w:rsidRDefault="004A2D1F">
            <w:r w:rsidRPr="004A2D1F">
              <w:t>Product Point</w:t>
            </w:r>
          </w:p>
        </w:tc>
      </w:tr>
      <w:tr w:rsidR="004A2D1F" w:rsidRPr="004A2D1F" w:rsidTr="003112A4">
        <w:trPr>
          <w:trHeight w:val="300"/>
        </w:trPr>
        <w:tc>
          <w:tcPr>
            <w:tcW w:w="1526" w:type="dxa"/>
            <w:noWrap/>
            <w:hideMark/>
          </w:tcPr>
          <w:p w:rsidR="004A2D1F" w:rsidRPr="004A2D1F" w:rsidRDefault="004A2D1F">
            <w:r w:rsidRPr="004A2D1F">
              <w:t>COMS0001</w:t>
            </w:r>
          </w:p>
        </w:tc>
        <w:tc>
          <w:tcPr>
            <w:tcW w:w="1134" w:type="dxa"/>
            <w:noWrap/>
            <w:hideMark/>
          </w:tcPr>
          <w:p w:rsidR="004A2D1F" w:rsidRPr="004A2D1F" w:rsidRDefault="004A2D1F">
            <w:r w:rsidRPr="004A2D1F">
              <w:t>Beacon</w:t>
            </w:r>
          </w:p>
        </w:tc>
        <w:tc>
          <w:tcPr>
            <w:tcW w:w="2660" w:type="dxa"/>
            <w:noWrap/>
            <w:hideMark/>
          </w:tcPr>
          <w:p w:rsidR="004A2D1F" w:rsidRPr="004A2D1F" w:rsidRDefault="004A2D1F">
            <w:r w:rsidRPr="004A2D1F">
              <w:t>Morse code continuous wave beacon based on EPROM</w:t>
            </w:r>
          </w:p>
        </w:tc>
        <w:tc>
          <w:tcPr>
            <w:tcW w:w="1734" w:type="dxa"/>
            <w:noWrap/>
            <w:hideMark/>
          </w:tcPr>
          <w:p w:rsidR="004A2D1F" w:rsidRPr="004A2D1F" w:rsidRDefault="004A2D1F">
            <w:r w:rsidRPr="004A2D1F">
              <w:t xml:space="preserve">D. </w:t>
            </w:r>
            <w:proofErr w:type="spellStart"/>
            <w:r w:rsidRPr="004A2D1F">
              <w:t>Jedrychowski</w:t>
            </w:r>
            <w:proofErr w:type="spellEnd"/>
          </w:p>
        </w:tc>
        <w:tc>
          <w:tcPr>
            <w:tcW w:w="1734" w:type="dxa"/>
            <w:noWrap/>
            <w:hideMark/>
          </w:tcPr>
          <w:p w:rsidR="004A2D1F" w:rsidRPr="004A2D1F" w:rsidRDefault="004A2D1F">
            <w:r w:rsidRPr="004A2D1F">
              <w:t xml:space="preserve">B3 </w:t>
            </w:r>
            <w:proofErr w:type="spellStart"/>
            <w:r w:rsidRPr="004A2D1F">
              <w:t>Groundstaton</w:t>
            </w:r>
            <w:proofErr w:type="spellEnd"/>
            <w:r w:rsidRPr="004A2D1F">
              <w:t xml:space="preserve"> Link (</w:t>
            </w:r>
            <w:proofErr w:type="spellStart"/>
            <w:r w:rsidRPr="004A2D1F">
              <w:t>Comms</w:t>
            </w:r>
            <w:proofErr w:type="spellEnd"/>
            <w:r w:rsidRPr="004A2D1F">
              <w:t>)</w:t>
            </w:r>
          </w:p>
        </w:tc>
      </w:tr>
    </w:tbl>
    <w:p w:rsidR="004A2D1F" w:rsidRDefault="004A2D1F" w:rsidP="004A2D1F">
      <w:pPr>
        <w:rPr>
          <w:lang w:val="en-US"/>
        </w:rPr>
      </w:pPr>
    </w:p>
    <w:p w:rsidR="004A2D1F" w:rsidRDefault="004A2D1F" w:rsidP="004A2D1F">
      <w:pPr>
        <w:rPr>
          <w:lang w:val="en-US"/>
        </w:rPr>
      </w:pPr>
      <w:r>
        <w:rPr>
          <w:lang w:val="en-US"/>
        </w:rPr>
        <w:t>This references drawing COMS</w:t>
      </w:r>
      <w:r w:rsidR="00D50570">
        <w:rPr>
          <w:lang w:val="en-US"/>
        </w:rPr>
        <w:t>0</w:t>
      </w:r>
      <w:r>
        <w:rPr>
          <w:lang w:val="en-US"/>
        </w:rPr>
        <w:t xml:space="preserve">001 which is stored in /B Bus/B3 </w:t>
      </w:r>
      <w:proofErr w:type="spellStart"/>
      <w:r>
        <w:rPr>
          <w:lang w:val="en-US"/>
        </w:rPr>
        <w:t>Groundstation</w:t>
      </w:r>
      <w:proofErr w:type="spellEnd"/>
      <w:r>
        <w:rPr>
          <w:lang w:val="en-US"/>
        </w:rPr>
        <w:t xml:space="preserve"> Link (</w:t>
      </w:r>
      <w:proofErr w:type="spellStart"/>
      <w:r>
        <w:rPr>
          <w:lang w:val="en-US"/>
        </w:rPr>
        <w:t>Comms</w:t>
      </w:r>
      <w:proofErr w:type="spellEnd"/>
      <w:r>
        <w:rPr>
          <w:lang w:val="en-US"/>
        </w:rPr>
        <w:t>)/COMS00</w:t>
      </w:r>
      <w:r w:rsidR="00D50570">
        <w:rPr>
          <w:lang w:val="en-US"/>
        </w:rPr>
        <w:t>0</w:t>
      </w:r>
      <w:r>
        <w:rPr>
          <w:lang w:val="en-US"/>
        </w:rPr>
        <w:t>1</w:t>
      </w:r>
      <w:r w:rsidR="00D50570">
        <w:rPr>
          <w:lang w:val="en-US"/>
        </w:rPr>
        <w:t>Beacon.schDoc.</w:t>
      </w:r>
    </w:p>
    <w:p w:rsidR="00D50570" w:rsidRDefault="00D50570" w:rsidP="00D50570">
      <w:pPr>
        <w:pStyle w:val="Heading1"/>
        <w:rPr>
          <w:lang w:val="en-US"/>
        </w:rPr>
      </w:pPr>
      <w:r>
        <w:rPr>
          <w:lang w:val="en-US"/>
        </w:rPr>
        <w:t>Project Management Documentation</w:t>
      </w:r>
    </w:p>
    <w:p w:rsidR="00D50570" w:rsidRPr="00D50570" w:rsidRDefault="00D50570" w:rsidP="00D50570">
      <w:pPr>
        <w:rPr>
          <w:lang w:val="en-US"/>
        </w:rPr>
      </w:pPr>
      <w:r>
        <w:rPr>
          <w:lang w:val="en-US"/>
        </w:rPr>
        <w:t xml:space="preserve">All versions of the Product Tree and </w:t>
      </w:r>
      <w:proofErr w:type="spellStart"/>
      <w:r>
        <w:rPr>
          <w:lang w:val="en-US"/>
        </w:rPr>
        <w:t>BLUEsat</w:t>
      </w:r>
      <w:proofErr w:type="spellEnd"/>
      <w:r>
        <w:rPr>
          <w:lang w:val="en-US"/>
        </w:rPr>
        <w:t xml:space="preserve"> project plan are stored in the root folder of the repository as GENN0004v1.x Product Tree and BLUEsatProjectPlanV1.x 2012xxxx.pdf</w:t>
      </w:r>
    </w:p>
    <w:p w:rsidR="00D50570" w:rsidRDefault="00D50570" w:rsidP="00D50570">
      <w:pPr>
        <w:pStyle w:val="Heading1"/>
        <w:rPr>
          <w:lang w:val="en-US"/>
        </w:rPr>
      </w:pPr>
      <w:r>
        <w:rPr>
          <w:lang w:val="en-US"/>
        </w:rPr>
        <w:t>Templates and PCB Libraries</w:t>
      </w:r>
    </w:p>
    <w:p w:rsidR="00D50570" w:rsidRPr="00D50570" w:rsidRDefault="00D50570" w:rsidP="00D50570">
      <w:pPr>
        <w:rPr>
          <w:lang w:val="en-US"/>
        </w:rPr>
      </w:pPr>
      <w:proofErr w:type="gramStart"/>
      <w:r>
        <w:rPr>
          <w:lang w:val="en-US"/>
        </w:rPr>
        <w:t xml:space="preserve">The folder ‘L PCB Library’ and ‘Templates’ contains templates and PCB libraries for internal </w:t>
      </w:r>
      <w:proofErr w:type="spellStart"/>
      <w:r>
        <w:rPr>
          <w:lang w:val="en-US"/>
        </w:rPr>
        <w:t>BLUEsat</w:t>
      </w:r>
      <w:proofErr w:type="spellEnd"/>
      <w:r>
        <w:rPr>
          <w:lang w:val="en-US"/>
        </w:rPr>
        <w:t xml:space="preserve"> document generation.</w:t>
      </w:r>
      <w:proofErr w:type="gramEnd"/>
    </w:p>
    <w:p w:rsidR="00D50570" w:rsidRDefault="00D50570" w:rsidP="00D50570">
      <w:pPr>
        <w:pStyle w:val="Heading1"/>
        <w:rPr>
          <w:lang w:val="en-US"/>
        </w:rPr>
      </w:pPr>
      <w:r>
        <w:rPr>
          <w:lang w:val="en-US"/>
        </w:rPr>
        <w:t>General Reports and Progress Updates</w:t>
      </w:r>
    </w:p>
    <w:p w:rsidR="00D50570" w:rsidRPr="00D50570" w:rsidRDefault="00D50570" w:rsidP="00D50570">
      <w:pPr>
        <w:rPr>
          <w:lang w:val="en-US"/>
        </w:rPr>
      </w:pPr>
      <w:r>
        <w:rPr>
          <w:lang w:val="en-US"/>
        </w:rPr>
        <w:t xml:space="preserve">The General Documents, Operations and Recruitment folders contain documents/reports relating to Operations, progress updates and finance within </w:t>
      </w:r>
      <w:proofErr w:type="spellStart"/>
      <w:r>
        <w:rPr>
          <w:lang w:val="en-US"/>
        </w:rPr>
        <w:t>BLUEsat</w:t>
      </w:r>
      <w:proofErr w:type="spellEnd"/>
      <w:r>
        <w:rPr>
          <w:lang w:val="en-US"/>
        </w:rPr>
        <w:t xml:space="preserve"> for internal recordkeeping. These documents are all centralized via the normal reporting and financial tracking system agreed upon with Elias.</w:t>
      </w:r>
    </w:p>
    <w:sectPr w:rsidR="00D50570" w:rsidRPr="00D50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D1F"/>
    <w:rsid w:val="003112A4"/>
    <w:rsid w:val="004A2D1F"/>
    <w:rsid w:val="006F451B"/>
    <w:rsid w:val="00D505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0" w:firstLine="0"/>
    </w:pPr>
  </w:style>
  <w:style w:type="paragraph" w:styleId="Heading1">
    <w:name w:val="heading 1"/>
    <w:basedOn w:val="Normal"/>
    <w:next w:val="Normal"/>
    <w:link w:val="Heading1Char"/>
    <w:uiPriority w:val="9"/>
    <w:qFormat/>
    <w:rsid w:val="004A2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A2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2D1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A2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0" w:firstLine="0"/>
    </w:pPr>
  </w:style>
  <w:style w:type="paragraph" w:styleId="Heading1">
    <w:name w:val="heading 1"/>
    <w:basedOn w:val="Normal"/>
    <w:next w:val="Normal"/>
    <w:link w:val="Heading1Char"/>
    <w:uiPriority w:val="9"/>
    <w:qFormat/>
    <w:rsid w:val="004A2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A2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2D1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A2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774347">
      <w:bodyDiv w:val="1"/>
      <w:marLeft w:val="0"/>
      <w:marRight w:val="0"/>
      <w:marTop w:val="0"/>
      <w:marBottom w:val="0"/>
      <w:divBdr>
        <w:top w:val="none" w:sz="0" w:space="0" w:color="auto"/>
        <w:left w:val="none" w:sz="0" w:space="0" w:color="auto"/>
        <w:bottom w:val="none" w:sz="0" w:space="0" w:color="auto"/>
        <w:right w:val="none" w:sz="0" w:space="0" w:color="auto"/>
      </w:divBdr>
    </w:div>
    <w:div w:id="1675918061">
      <w:bodyDiv w:val="1"/>
      <w:marLeft w:val="0"/>
      <w:marRight w:val="0"/>
      <w:marTop w:val="0"/>
      <w:marBottom w:val="0"/>
      <w:divBdr>
        <w:top w:val="none" w:sz="0" w:space="0" w:color="auto"/>
        <w:left w:val="none" w:sz="0" w:space="0" w:color="auto"/>
        <w:bottom w:val="none" w:sz="0" w:space="0" w:color="auto"/>
        <w:right w:val="none" w:sz="0" w:space="0" w:color="auto"/>
      </w:divBdr>
    </w:div>
    <w:div w:id="206032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Nguyen</dc:creator>
  <cp:lastModifiedBy>Thien Nguyen</cp:lastModifiedBy>
  <cp:revision>2</cp:revision>
  <dcterms:created xsi:type="dcterms:W3CDTF">2012-06-02T05:01:00Z</dcterms:created>
  <dcterms:modified xsi:type="dcterms:W3CDTF">2012-06-02T05:23:00Z</dcterms:modified>
</cp:coreProperties>
</file>