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the last plates were cleared and the lingering aroma of the meal filled the air, Mark stood up, a gentle smile on his face. "Alright everyone, settle in," he said, gesturing towards the living room. "It's time for our first official family meeting."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family gathered comfortably on the couches and chairs, a sense of anticipation in the air. "Sarah," Mark said, turning to her, "would you please read the list of items we need to discuss and decide on?"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Sarah pulled out her notepad and began to read: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Talking object for meetings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Designated alone space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Decisions regarding the other houses.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Family traditions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Financial management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Guest policy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Pet policy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Technology and screen time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Chores and responsibilities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Family evolution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Anything else that needs to be added to the family binder.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"Alright," Mark said, "let's start with the talking object. Any suggestions?"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lively discussion ensued, with various ideas being thrown around. They eventually settled on a beautifully carved wooden spoon, a symbol of their shared meals and family unity.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Next, they discussed the designated alone space, deciding on the library as the official quiet room.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Regarding the other houses, they agreed to create a pros and cons list for each option and revisit the discussion at a later meeting.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They then moved on to family traditions, brainstorming ideas for holiday celebrations, birthday rituals, and other special occasions.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discussions flowed smoothly, with everyone contributing their thoughts and opinions. When it came time to make a decision, they opted for a simple hand vote, unless someone requested to use the ballot boxes.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"All in favor of using the library as the quiet room, raise your hands," Mark said.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Hands went up, and the decision was made.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They continued through the list, making decisions and adding notes to the binder. The atmosphere was relaxed and collaborative, a testament to their growing bond as a family.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