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Luxury Boutique Operational and Financial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This document serves as a comprehensive operational and financial reference for a high-end, luxury women’s boutique. It is designed to establish an authentic framework for professional retail management within a fictional narrative setting.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Boutique Concept and Product Selection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boutique operates on a luxury-tier model, curating an exclusive selection of high-fashion labels. The inventory is segmented into the following primary categories: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Designer Apparel:</w:t>
      </w:r>
      <w:r w:rsidDel="00000000" w:rsidR="00000000" w:rsidRPr="00000000">
        <w:rPr>
          <w:rtl w:val="0"/>
        </w:rPr>
        <w:t xml:space="preserve"> Evening wear, tailored blazers, silk blouses, and seasonal runway collections.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Footwear:</w:t>
      </w:r>
      <w:r w:rsidDel="00000000" w:rsidR="00000000" w:rsidRPr="00000000">
        <w:rPr>
          <w:rtl w:val="0"/>
        </w:rPr>
        <w:t xml:space="preserve"> Artisanal heels, luxury boots, and designer flats.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Handbags and Clutches:</w:t>
      </w:r>
      <w:r w:rsidDel="00000000" w:rsidR="00000000" w:rsidRPr="00000000">
        <w:rPr>
          <w:rtl w:val="0"/>
        </w:rPr>
        <w:t xml:space="preserve"> Iconic totes, structured handbags, and evening clutches using exotic leathers and precious hardware.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Accessories:</w:t>
      </w:r>
      <w:r w:rsidDel="00000000" w:rsidR="00000000" w:rsidRPr="00000000">
        <w:rPr>
          <w:rtl w:val="0"/>
        </w:rPr>
        <w:t xml:space="preserve"> Fine jewelry, silk scarves, leather belts, and eyewear.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Organizational Structure and Staffing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To maintain the prestige and personalized service expected of a high-end boutique, the following staff roles are essential: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Position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Primary Responsibilities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Boutique Manager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Oversees daily operations, P&amp;L management, high-level client relations, and team leadership.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Sales Stylist (Associate)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Provides white-glove, personalized styling consultations and manages client lookbooks.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Inventory &amp; Stock Specialist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Maintains meticulous inventory records, handles high-value shipments, and manages stockroom organization.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Visual Merchandiser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Designs window displays and in-store floor sets to adhere to luxury brand standards.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Financial Framework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luxury retail model requires stringent financial oversight. Below is an outline of the key financial pillars for the operation: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 of Goods Sold (COGS):</w:t>
      </w:r>
      <w:r w:rsidDel="00000000" w:rsidR="00000000" w:rsidRPr="00000000">
        <w:rPr>
          <w:rtl w:val="0"/>
        </w:rPr>
        <w:t xml:space="preserve"> Typically represents 40-50% of revenue, influenced by wholesale pricing from luxury fashion houses.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Operational Overhead:</w:t>
      </w:r>
      <w:r w:rsidDel="00000000" w:rsidR="00000000" w:rsidRPr="00000000">
        <w:rPr>
          <w:rtl w:val="0"/>
        </w:rPr>
        <w:t xml:space="preserve"> Includes premium location rent, specialized security systems for high-value merchandise, and interior insurance.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Sales Targets:</w:t>
      </w:r>
      <w:r w:rsidDel="00000000" w:rsidR="00000000" w:rsidRPr="00000000">
        <w:rPr>
          <w:rtl w:val="0"/>
        </w:rPr>
        <w:t xml:space="preserve"> Luxury retail often relies on high average transaction value (ATV) rather than high volume.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Marketing and Clienteling:</w:t>
      </w:r>
      <w:r w:rsidDel="00000000" w:rsidR="00000000" w:rsidRPr="00000000">
        <w:rPr>
          <w:rtl w:val="0"/>
        </w:rPr>
        <w:t xml:space="preserve"> A significant portion of the budget is allocated to private shopping events, seasonal lookbooks, and personalized client gifts.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All operations should prioritize a "client-first" atmosphere where privacy and discretion are paramount.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