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Corporate Overview: Omnitech Aesthetic &amp; Body Modification Group (OAM)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Focus: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Fully automated, high-precision aesthetic transformation, advanced salon engineering, automated piercing architecture, and robotic dermal tattooing systems.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Corporate Relationship: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Operating as a completely separate, standalone corporate entity under the exact same parent holding structure as Neo-Anatomical Systems Corp. (NAS).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Corporate Mandate: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deliver turnkey, parallelized physical reinventions through fully automated suites, entirely removing human technician error and standard sequential time constraints from high-end salon, piercing, and tattoo services.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Master Corporate Asset &amp; Product Mapping Table (OAM Subsidiary)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Division / Sector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Asset / Product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Core Specification &amp; Operational Focus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Target Valuation &amp; Character Investment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Flagship Automated 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Aura-Matrix V-10 Treatment Pod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Fully automated, obsidian-trimmed sculptural berth featuring multi-axis micro-articulated nano-dispensers, optical mapping, and parallelized multi-specialist robotic processing arrays.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Valuation: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~$12 Billion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Investment: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100% Outright Proprietary Ownership (~$6 Billion R&amp;D and automated factory scaling)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Aesthetic &amp; Hair Infrastructure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Synchronized Salon &amp; Laser-Guided Resurfacing Array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Robotic system executing deep scalp detoxifications, hyper-oxygenated facial resurfacing, botanical brow shaping, and hybrid micro-fusion hair extension weaving simultaneously.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Valuation: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~$6 Billion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Investment: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Majority Control (85% Equity Stake / ~$4 Billion)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Body Modification Robotics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Pneumatic Multi-Point Piercing Curation 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High-speed optical mapping and pneumatic sterile needle arrays that execute complex multi-point piercings (ear constellations, facial, and intimate placements) while instantly seating solid 14k/18k gold or gemstone jewelry.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Valuation: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~$5 Billion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Investment: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100% Acquisition (~$3 Billion)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Dermal Articulation Technology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Multi-Needle Micro-Pigmentation Array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Real-time skin elasticity and pigment-absorption mapping heads engineered to apply flawless fine-line tattoos, custom star maps, or fine-gradient color palettes with zero human margin of error.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Valuation: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~$4 Billion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Investment: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100% Proprietary Holding (~$2.5 Billion)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Detailed Product Architecture &amp; Operational Narrative (The Aura-Matrix V-10 Suite)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Overview &amp; Design: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automated treatment pod resembles an obsidian-trimmed sculptural berth lined with biometric sensors and micro-articulated nano-dispensers.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a patient steps onto the diagnostic platform, the internal environment configures itself to their target presentation profile within seconds.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Synchronized Salon &amp; Aesthetic Processing: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While structural or cybernetic adjustments are managed separately via companion medical systems, the pod’s upper framework deploys a multi-axis array of laser-guided micro-combs, nutrient injectors, and ultrasonic skin-resurfacing heads.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It executes deep scalp detoxifications, hyper-oxygenated facial resurfacing, and botanical brow shaping concurrently in a fraction of traditional salon timelines.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hair integration, automated mechanical arms weave custom-blended virgin human hair extensions using hybrid micro-fusion techniques to frame facial geometry.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Precision Robotic Piercing Curation: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Utilizing high-speed optical mapping to read individual anatomical dimensions, the pod’s pneumatic sterile needle arrays execute complex multi-point piercings—ranging from delicate ear constellations (helix, tragus, conch) to facial and intimate placements—instantly placing custom-fit solid 14k/18k gold, diamond, or gemstone jewelry with millimeter accuracy.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Dermal Tattooing Array: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permanent artistic expression, specialized multi-needle micro-pigmentation heads map skin elasticity and pigment absorption in real time.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Whether rendering delicate sapphic line-work, custom star maps, or fine-gradient pride color palettes, the system applies flawless ink density with zero margin for human error, completing a comprehensive aesthetic, piercing, and body-modification transformation in a single, uninterrupted operational cycle.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