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— Ideas — NON-CANON</w:t>
      </w:r>
    </w:p>
    <w:p>
      <w:pPr>
        <w:jc w:val="center"/>
      </w:pPr>
      <w:r>
        <w:rPr>
          <w:i/>
          <w:sz w:val="20"/>
        </w:rPr>
        <w:t>Brainstorming space; nothing here becomes canon automatically</w:t>
      </w:r>
    </w:p>
    <w:p/>
    <w:p>
      <w:r>
        <w:t>IMPORTANT: Everything in this document is NON-CANON unless Jim explicitly promotes it to canon or it becomes an unambiguous event in an accepted story.</w:t>
      </w:r>
    </w:p>
    <w:p>
      <w:pPr>
        <w:pStyle w:val="Heading1"/>
      </w:pPr>
      <w:r>
        <w:t>Story Ideas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Possible Scenes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Possible Character Developments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Alternative Directions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Questions to Resolve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Rejected / Superseded Ideas</w:t>
      </w:r>
    </w:p>
    <w:p>
      <w:r>
        <w:t>Keep discarded ideas here if useful for reference, clearly marked so they cannot be mistaken for canon.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