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0C325" w14:textId="77777777" w:rsidR="00252C5D" w:rsidRDefault="001D528E">
      <w:pPr>
        <w:spacing w:after="80"/>
      </w:pPr>
      <w:r>
        <w:rPr>
          <w:rFonts w:ascii="Arial" w:hAnsi="Arial"/>
          <w:b/>
          <w:color w:val="293A52"/>
          <w:sz w:val="44"/>
        </w:rPr>
        <w:t>The Transformation &amp; Swap Mechanics Matrix</w:t>
      </w:r>
    </w:p>
    <w:tbl>
      <w:tblPr>
        <w:tblW w:w="0" w:type="auto"/>
        <w:jc w:val="center"/>
        <w:tblLook w:val="04A0" w:firstRow="1" w:lastRow="0" w:firstColumn="1" w:lastColumn="0" w:noHBand="0" w:noVBand="1"/>
      </w:tblPr>
      <w:tblGrid>
        <w:gridCol w:w="9360"/>
      </w:tblGrid>
      <w:tr w:rsidR="00252C5D" w14:paraId="06A60CBB" w14:textId="77777777">
        <w:trPr>
          <w:jc w:val="center"/>
        </w:trPr>
        <w:tc>
          <w:tcPr>
            <w:tcW w:w="9360" w:type="dxa"/>
            <w:tcBorders>
              <w:left w:val="single" w:sz="24" w:space="0" w:color="293A52"/>
            </w:tcBorders>
            <w:shd w:val="clear" w:color="auto" w:fill="F4F6F8"/>
            <w:tcMar>
              <w:top w:w="140" w:type="dxa"/>
              <w:left w:w="200" w:type="dxa"/>
              <w:bottom w:w="140" w:type="dxa"/>
              <w:right w:w="200" w:type="dxa"/>
            </w:tcMar>
          </w:tcPr>
          <w:p w14:paraId="3E3B5E86" w14:textId="77777777" w:rsidR="00252C5D" w:rsidRDefault="001D528E">
            <w:pPr>
              <w:spacing w:after="0"/>
            </w:pPr>
            <w:r>
              <w:rPr>
                <w:rFonts w:ascii="Arial" w:hAnsi="Arial"/>
                <w:b/>
                <w:color w:val="293A52"/>
                <w:sz w:val="21"/>
              </w:rPr>
              <w:t xml:space="preserve">Instructions for AI Context Integration: </w:t>
            </w:r>
            <w:r>
              <w:rPr>
                <w:rFonts w:ascii="Arial" w:hAnsi="Arial"/>
                <w:color w:val="323232"/>
                <w:sz w:val="21"/>
              </w:rPr>
              <w:t xml:space="preserve"> Upload this framework to your project workspace or integrate it into your master bible. When writing narrative scenes involving body swaps, identity transfers, role reversals, or situational exchanges, reference it using tags like [Refer to Swap Matrix: Type X] to ensure absolute logical consistency, accurate memory/behavioral bleed, and strict adherence to established transformation rules.</w:t>
            </w:r>
          </w:p>
        </w:tc>
      </w:tr>
    </w:tbl>
    <w:p w14:paraId="2B431171" w14:textId="77777777" w:rsidR="00252C5D" w:rsidRDefault="00252C5D">
      <w:pPr>
        <w:spacing w:after="120"/>
      </w:pPr>
    </w:p>
    <w:p w14:paraId="4700D5AC" w14:textId="77777777" w:rsidR="00252C5D" w:rsidRDefault="001D528E">
      <w:pPr>
        <w:spacing w:before="320" w:after="120"/>
      </w:pPr>
      <w:r>
        <w:rPr>
          <w:rFonts w:ascii="Arial" w:hAnsi="Arial"/>
          <w:b/>
          <w:color w:val="293A52"/>
          <w:sz w:val="28"/>
        </w:rPr>
        <w:t>SECTION 1: Swap Types &amp; Classifications</w:t>
      </w:r>
    </w:p>
    <w:p w14:paraId="0611F51D" w14:textId="77777777" w:rsidR="00252C5D" w:rsidRDefault="001D528E">
      <w:pPr>
        <w:pStyle w:val="ListBullet"/>
        <w:spacing w:after="80"/>
      </w:pPr>
      <w:r>
        <w:rPr>
          <w:rFonts w:ascii="Arial" w:hAnsi="Arial"/>
          <w:b/>
          <w:color w:val="293A52"/>
        </w:rPr>
        <w:t xml:space="preserve">1.1 Body Swaps: </w:t>
      </w:r>
      <w:r>
        <w:rPr>
          <w:rFonts w:ascii="Arial" w:hAnsi="Arial"/>
          <w:color w:val="323232"/>
        </w:rPr>
        <w:t>Direct mutual or multi-party exchange of physical forms between characters (characters explicitly mention swapping their bodies only).</w:t>
      </w:r>
    </w:p>
    <w:p w14:paraId="79F513E7" w14:textId="77777777" w:rsidR="00252C5D" w:rsidRDefault="001D528E">
      <w:pPr>
        <w:pStyle w:val="ListBullet"/>
        <w:spacing w:after="80"/>
      </w:pPr>
      <w:r>
        <w:rPr>
          <w:rFonts w:ascii="Arial" w:hAnsi="Arial"/>
          <w:b/>
          <w:color w:val="293A52"/>
        </w:rPr>
        <w:t xml:space="preserve">1.2 Identity / Persona Swaps: </w:t>
      </w:r>
      <w:r>
        <w:rPr>
          <w:rFonts w:ascii="Arial" w:hAnsi="Arial"/>
          <w:color w:val="323232"/>
        </w:rPr>
        <w:t>Undercover exchanges, assumed aliases, or forced social-role replacements where characters must impersonate one another.</w:t>
      </w:r>
    </w:p>
    <w:p w14:paraId="4A0971DD" w14:textId="77777777" w:rsidR="00252C5D" w:rsidRDefault="001D528E">
      <w:pPr>
        <w:pStyle w:val="ListBullet"/>
        <w:spacing w:after="80"/>
      </w:pPr>
      <w:r>
        <w:rPr>
          <w:rFonts w:ascii="Arial" w:hAnsi="Arial"/>
          <w:b/>
          <w:color w:val="293A52"/>
        </w:rPr>
        <w:t xml:space="preserve">1.3 Consciousness &amp; Cognitive Transfers: </w:t>
      </w:r>
      <w:r>
        <w:rPr>
          <w:rFonts w:ascii="Arial" w:hAnsi="Arial"/>
          <w:color w:val="323232"/>
        </w:rPr>
        <w:t>Mind-swaps, partial memory bleed, or cognitive overwrites operating within separate vessels.</w:t>
      </w:r>
    </w:p>
    <w:p w14:paraId="6762092B" w14:textId="77777777" w:rsidR="00252C5D" w:rsidRDefault="001D528E">
      <w:pPr>
        <w:pStyle w:val="ListBullet"/>
        <w:spacing w:after="80"/>
      </w:pPr>
      <w:r>
        <w:rPr>
          <w:rFonts w:ascii="Arial" w:hAnsi="Arial"/>
          <w:b/>
          <w:color w:val="293A52"/>
        </w:rPr>
        <w:t xml:space="preserve">1.4 Role Reversals &amp; Positional Exchanges: </w:t>
      </w:r>
      <w:r>
        <w:rPr>
          <w:rFonts w:ascii="Arial" w:hAnsi="Arial"/>
          <w:color w:val="323232"/>
        </w:rPr>
        <w:t>Power structure flips, social standing inversions, or situational duty switches between opposing characters.</w:t>
      </w:r>
    </w:p>
    <w:p w14:paraId="3706A750" w14:textId="77777777" w:rsidR="00252C5D" w:rsidRDefault="001D528E">
      <w:pPr>
        <w:spacing w:before="320" w:after="120"/>
      </w:pPr>
      <w:r>
        <w:rPr>
          <w:rFonts w:ascii="Arial" w:hAnsi="Arial"/>
          <w:b/>
          <w:color w:val="293A52"/>
          <w:sz w:val="28"/>
        </w:rPr>
        <w:t>SECTION 2: Rules, Constraints, &amp; Limitations</w:t>
      </w:r>
    </w:p>
    <w:p w14:paraId="154D8919" w14:textId="77777777" w:rsidR="00252C5D" w:rsidRDefault="001D528E">
      <w:pPr>
        <w:pStyle w:val="ListBullet"/>
        <w:spacing w:after="80"/>
      </w:pPr>
      <w:r>
        <w:rPr>
          <w:rFonts w:ascii="Arial" w:hAnsi="Arial"/>
          <w:b/>
          <w:color w:val="293A52"/>
        </w:rPr>
        <w:t xml:space="preserve">2.1 Memory &amp; Knowledge Access: </w:t>
      </w:r>
      <w:r>
        <w:rPr>
          <w:rFonts w:ascii="Arial" w:hAnsi="Arial"/>
          <w:color w:val="323232"/>
        </w:rPr>
        <w:t>Define whether swapped characters retain their original memories exclusively, gain complete access to the host vessel's memories, or experience disorienting cognitive gaps.</w:t>
      </w:r>
    </w:p>
    <w:p w14:paraId="5A91402C" w14:textId="77777777" w:rsidR="00252C5D" w:rsidRDefault="001D528E">
      <w:pPr>
        <w:pStyle w:val="ListBullet"/>
        <w:spacing w:after="80"/>
      </w:pPr>
      <w:r>
        <w:rPr>
          <w:rFonts w:ascii="Arial" w:hAnsi="Arial"/>
          <w:b/>
          <w:color w:val="293A52"/>
        </w:rPr>
        <w:t xml:space="preserve">2.2 Behavioral &amp; Habitual Leaks: </w:t>
      </w:r>
      <w:r>
        <w:rPr>
          <w:rFonts w:ascii="Arial" w:hAnsi="Arial"/>
          <w:color w:val="323232"/>
        </w:rPr>
        <w:t>How the original personality manifests through the new framework (e.g., posture slips, signature vocal cadence, micro-expressions, or muscle memory habits).</w:t>
      </w:r>
    </w:p>
    <w:p w14:paraId="1157CBC0" w14:textId="77777777" w:rsidR="00252C5D" w:rsidRDefault="001D528E">
      <w:pPr>
        <w:pStyle w:val="ListBullet"/>
        <w:spacing w:after="80"/>
      </w:pPr>
      <w:r>
        <w:rPr>
          <w:rFonts w:ascii="Arial" w:hAnsi="Arial"/>
          <w:b/>
          <w:color w:val="293A52"/>
        </w:rPr>
        <w:t xml:space="preserve">2.3 Duration &amp; Reversibility Mechanics: </w:t>
      </w:r>
      <w:r>
        <w:rPr>
          <w:rFonts w:ascii="Arial" w:hAnsi="Arial"/>
          <w:color w:val="323232"/>
        </w:rPr>
        <w:t>Is the swap temporary with a fixed timeline, triggered by a specific event/condition, or permanent until a precise counter-ritual or action is performed?</w:t>
      </w:r>
    </w:p>
    <w:p w14:paraId="70305093" w14:textId="77777777" w:rsidR="00252C5D" w:rsidRDefault="001D528E">
      <w:pPr>
        <w:spacing w:before="320" w:after="120"/>
      </w:pPr>
      <w:r>
        <w:rPr>
          <w:rFonts w:ascii="Arial" w:hAnsi="Arial"/>
          <w:b/>
          <w:color w:val="293A52"/>
          <w:sz w:val="28"/>
        </w:rPr>
        <w:t>SECTION 3: Active Swap Chronological Ledger</w:t>
      </w:r>
    </w:p>
    <w:p w14:paraId="089010B7" w14:textId="77777777" w:rsidR="00252C5D" w:rsidRDefault="001D528E">
      <w:pPr>
        <w:spacing w:after="120"/>
      </w:pPr>
      <w:r>
        <w:rPr>
          <w:rFonts w:ascii="Arial" w:hAnsi="Arial"/>
          <w:i/>
          <w:color w:val="5C6B73"/>
        </w:rPr>
        <w:t>Use the table below to track active swaps across chapters and ensure narrative continuity:</w:t>
      </w:r>
    </w:p>
    <w:tbl>
      <w:tblPr>
        <w:tblW w:w="0" w:type="auto"/>
        <w:jc w:val="center"/>
        <w:tblLook w:val="04A0" w:firstRow="1" w:lastRow="0" w:firstColumn="1" w:lastColumn="0" w:noHBand="0" w:noVBand="1"/>
      </w:tblPr>
      <w:tblGrid>
        <w:gridCol w:w="1728"/>
        <w:gridCol w:w="2160"/>
        <w:gridCol w:w="2880"/>
        <w:gridCol w:w="2592"/>
      </w:tblGrid>
      <w:tr w:rsidR="00252C5D" w14:paraId="04554F5A" w14:textId="77777777">
        <w:trPr>
          <w:jc w:val="center"/>
        </w:trPr>
        <w:tc>
          <w:tcPr>
            <w:tcW w:w="1728" w:type="dxa"/>
            <w:shd w:val="clear" w:color="auto" w:fill="293A52"/>
            <w:tcMar>
              <w:top w:w="120" w:type="dxa"/>
              <w:left w:w="120" w:type="dxa"/>
              <w:bottom w:w="120" w:type="dxa"/>
              <w:right w:w="120" w:type="dxa"/>
            </w:tcMar>
          </w:tcPr>
          <w:p w14:paraId="19DDF2F5" w14:textId="77777777" w:rsidR="00252C5D" w:rsidRDefault="001D528E">
            <w:r>
              <w:rPr>
                <w:rFonts w:ascii="Arial" w:hAnsi="Arial"/>
                <w:b/>
                <w:color w:val="FFFFFF"/>
                <w:sz w:val="20"/>
              </w:rPr>
              <w:t>In-Story Chapter / Day</w:t>
            </w:r>
          </w:p>
        </w:tc>
        <w:tc>
          <w:tcPr>
            <w:tcW w:w="2160" w:type="dxa"/>
            <w:shd w:val="clear" w:color="auto" w:fill="293A52"/>
            <w:tcMar>
              <w:top w:w="120" w:type="dxa"/>
              <w:left w:w="120" w:type="dxa"/>
              <w:bottom w:w="120" w:type="dxa"/>
              <w:right w:w="120" w:type="dxa"/>
            </w:tcMar>
          </w:tcPr>
          <w:p w14:paraId="72BE5680" w14:textId="77777777" w:rsidR="00252C5D" w:rsidRDefault="001D528E">
            <w:r>
              <w:rPr>
                <w:rFonts w:ascii="Arial" w:hAnsi="Arial"/>
                <w:b/>
                <w:color w:val="FFFFFF"/>
                <w:sz w:val="20"/>
              </w:rPr>
              <w:t>Swap Type &amp; Participants</w:t>
            </w:r>
          </w:p>
        </w:tc>
        <w:tc>
          <w:tcPr>
            <w:tcW w:w="2880" w:type="dxa"/>
            <w:shd w:val="clear" w:color="auto" w:fill="293A52"/>
            <w:tcMar>
              <w:top w:w="120" w:type="dxa"/>
              <w:left w:w="120" w:type="dxa"/>
              <w:bottom w:w="120" w:type="dxa"/>
              <w:right w:w="120" w:type="dxa"/>
            </w:tcMar>
          </w:tcPr>
          <w:p w14:paraId="0B0960DE" w14:textId="77777777" w:rsidR="00252C5D" w:rsidRDefault="001D528E">
            <w:r>
              <w:rPr>
                <w:rFonts w:ascii="Arial" w:hAnsi="Arial"/>
                <w:b/>
                <w:color w:val="FFFFFF"/>
                <w:sz w:val="20"/>
              </w:rPr>
              <w:t>Triggering Mechanism &amp; Rules</w:t>
            </w:r>
          </w:p>
        </w:tc>
        <w:tc>
          <w:tcPr>
            <w:tcW w:w="2592" w:type="dxa"/>
            <w:shd w:val="clear" w:color="auto" w:fill="293A52"/>
            <w:tcMar>
              <w:top w:w="120" w:type="dxa"/>
              <w:left w:w="120" w:type="dxa"/>
              <w:bottom w:w="120" w:type="dxa"/>
              <w:right w:w="120" w:type="dxa"/>
            </w:tcMar>
          </w:tcPr>
          <w:p w14:paraId="01D5DB93" w14:textId="77777777" w:rsidR="00252C5D" w:rsidRDefault="001D528E">
            <w:r>
              <w:rPr>
                <w:rFonts w:ascii="Arial" w:hAnsi="Arial"/>
                <w:b/>
                <w:color w:val="FFFFFF"/>
                <w:sz w:val="20"/>
              </w:rPr>
              <w:t>Current State &amp; Cover Challenge</w:t>
            </w:r>
          </w:p>
        </w:tc>
      </w:tr>
      <w:tr w:rsidR="00252C5D" w14:paraId="774BDFEE" w14:textId="77777777">
        <w:trPr>
          <w:jc w:val="center"/>
        </w:trPr>
        <w:tc>
          <w:tcPr>
            <w:tcW w:w="1728" w:type="dxa"/>
            <w:shd w:val="clear" w:color="auto" w:fill="F4F6F8"/>
            <w:tcMar>
              <w:top w:w="100" w:type="dxa"/>
              <w:left w:w="120" w:type="dxa"/>
              <w:bottom w:w="100" w:type="dxa"/>
              <w:right w:w="120" w:type="dxa"/>
            </w:tcMar>
          </w:tcPr>
          <w:p w14:paraId="57D1E4F8" w14:textId="77777777" w:rsidR="00252C5D" w:rsidRDefault="001D528E">
            <w:r>
              <w:rPr>
                <w:rFonts w:ascii="Arial" w:hAnsi="Arial"/>
                <w:color w:val="323232"/>
                <w:sz w:val="19"/>
              </w:rPr>
              <w:t>Chapter 3 / Day 2</w:t>
            </w:r>
          </w:p>
        </w:tc>
        <w:tc>
          <w:tcPr>
            <w:tcW w:w="2160" w:type="dxa"/>
            <w:shd w:val="clear" w:color="auto" w:fill="F4F6F8"/>
            <w:tcMar>
              <w:top w:w="100" w:type="dxa"/>
              <w:left w:w="120" w:type="dxa"/>
              <w:bottom w:w="100" w:type="dxa"/>
              <w:right w:w="120" w:type="dxa"/>
            </w:tcMar>
          </w:tcPr>
          <w:p w14:paraId="2A49F48D" w14:textId="77777777" w:rsidR="00252C5D" w:rsidRDefault="001D528E">
            <w:r>
              <w:rPr>
                <w:rFonts w:ascii="Arial" w:hAnsi="Arial"/>
                <w:color w:val="323232"/>
                <w:sz w:val="19"/>
              </w:rPr>
              <w:t>Body Swap</w:t>
            </w:r>
            <w:r>
              <w:rPr>
                <w:rFonts w:ascii="Arial" w:hAnsi="Arial"/>
                <w:color w:val="323232"/>
                <w:sz w:val="19"/>
              </w:rPr>
              <w:br/>
              <w:t>(Character A &amp; Character B)</w:t>
            </w:r>
          </w:p>
        </w:tc>
        <w:tc>
          <w:tcPr>
            <w:tcW w:w="2880" w:type="dxa"/>
            <w:shd w:val="clear" w:color="auto" w:fill="F4F6F8"/>
            <w:tcMar>
              <w:top w:w="100" w:type="dxa"/>
              <w:left w:w="120" w:type="dxa"/>
              <w:bottom w:w="100" w:type="dxa"/>
              <w:right w:w="120" w:type="dxa"/>
            </w:tcMar>
          </w:tcPr>
          <w:p w14:paraId="72379E16" w14:textId="77777777" w:rsidR="00252C5D" w:rsidRDefault="001D528E">
            <w:r>
              <w:rPr>
                <w:rFonts w:ascii="Arial" w:hAnsi="Arial"/>
                <w:color w:val="323232"/>
                <w:sz w:val="19"/>
              </w:rPr>
              <w:t>Mystical artifact resonance; complete physical exchange, partial memory retention.</w:t>
            </w:r>
          </w:p>
        </w:tc>
        <w:tc>
          <w:tcPr>
            <w:tcW w:w="2592" w:type="dxa"/>
            <w:shd w:val="clear" w:color="auto" w:fill="F4F6F8"/>
            <w:tcMar>
              <w:top w:w="100" w:type="dxa"/>
              <w:left w:w="120" w:type="dxa"/>
              <w:bottom w:w="100" w:type="dxa"/>
              <w:right w:w="120" w:type="dxa"/>
            </w:tcMar>
          </w:tcPr>
          <w:p w14:paraId="5AB89C2A" w14:textId="77777777" w:rsidR="00252C5D" w:rsidRDefault="001D528E">
            <w:r>
              <w:rPr>
                <w:rFonts w:ascii="Arial" w:hAnsi="Arial"/>
                <w:color w:val="323232"/>
                <w:sz w:val="19"/>
              </w:rPr>
              <w:t>Character A must navigate Character B's workplace without raising suspicion.</w:t>
            </w:r>
          </w:p>
        </w:tc>
      </w:tr>
      <w:tr w:rsidR="00252C5D" w14:paraId="7330A4B2" w14:textId="77777777">
        <w:trPr>
          <w:jc w:val="center"/>
        </w:trPr>
        <w:tc>
          <w:tcPr>
            <w:tcW w:w="1728" w:type="dxa"/>
            <w:shd w:val="clear" w:color="auto" w:fill="FFFFFF"/>
            <w:tcMar>
              <w:top w:w="100" w:type="dxa"/>
              <w:left w:w="120" w:type="dxa"/>
              <w:bottom w:w="100" w:type="dxa"/>
              <w:right w:w="120" w:type="dxa"/>
            </w:tcMar>
          </w:tcPr>
          <w:p w14:paraId="34DAA426" w14:textId="77777777" w:rsidR="00252C5D" w:rsidRDefault="001D528E">
            <w:r>
              <w:rPr>
                <w:rFonts w:ascii="Arial" w:hAnsi="Arial"/>
                <w:color w:val="323232"/>
                <w:sz w:val="19"/>
              </w:rPr>
              <w:t>Chapter 7 / Day 5</w:t>
            </w:r>
          </w:p>
        </w:tc>
        <w:tc>
          <w:tcPr>
            <w:tcW w:w="2160" w:type="dxa"/>
            <w:shd w:val="clear" w:color="auto" w:fill="FFFFFF"/>
            <w:tcMar>
              <w:top w:w="100" w:type="dxa"/>
              <w:left w:w="120" w:type="dxa"/>
              <w:bottom w:w="100" w:type="dxa"/>
              <w:right w:w="120" w:type="dxa"/>
            </w:tcMar>
          </w:tcPr>
          <w:p w14:paraId="42D814DB" w14:textId="77777777" w:rsidR="00252C5D" w:rsidRDefault="001D528E">
            <w:r>
              <w:rPr>
                <w:rFonts w:ascii="Arial" w:hAnsi="Arial"/>
                <w:color w:val="323232"/>
                <w:sz w:val="19"/>
              </w:rPr>
              <w:t>Identity Swap</w:t>
            </w:r>
            <w:r>
              <w:rPr>
                <w:rFonts w:ascii="Arial" w:hAnsi="Arial"/>
                <w:color w:val="323232"/>
                <w:sz w:val="19"/>
              </w:rPr>
              <w:br/>
              <w:t>(Character C posing as Character D)</w:t>
            </w:r>
          </w:p>
        </w:tc>
        <w:tc>
          <w:tcPr>
            <w:tcW w:w="2880" w:type="dxa"/>
            <w:shd w:val="clear" w:color="auto" w:fill="FFFFFF"/>
            <w:tcMar>
              <w:top w:w="100" w:type="dxa"/>
              <w:left w:w="120" w:type="dxa"/>
              <w:bottom w:w="100" w:type="dxa"/>
              <w:right w:w="120" w:type="dxa"/>
            </w:tcMar>
          </w:tcPr>
          <w:p w14:paraId="76A4E13C" w14:textId="77777777" w:rsidR="00252C5D" w:rsidRDefault="001D528E">
            <w:r>
              <w:rPr>
                <w:rFonts w:ascii="Arial" w:hAnsi="Arial"/>
                <w:color w:val="323232"/>
                <w:sz w:val="19"/>
              </w:rPr>
              <w:t>Forged credentials and deliberate disguise; temporal limit of 48 hours.</w:t>
            </w:r>
          </w:p>
        </w:tc>
        <w:tc>
          <w:tcPr>
            <w:tcW w:w="2592" w:type="dxa"/>
            <w:shd w:val="clear" w:color="auto" w:fill="FFFFFF"/>
            <w:tcMar>
              <w:top w:w="100" w:type="dxa"/>
              <w:left w:w="120" w:type="dxa"/>
              <w:bottom w:w="100" w:type="dxa"/>
              <w:right w:w="120" w:type="dxa"/>
            </w:tcMar>
          </w:tcPr>
          <w:p w14:paraId="2E61A62C" w14:textId="77777777" w:rsidR="00252C5D" w:rsidRDefault="001D528E">
            <w:r>
              <w:rPr>
                <w:rFonts w:ascii="Arial" w:hAnsi="Arial"/>
                <w:color w:val="323232"/>
                <w:sz w:val="19"/>
              </w:rPr>
              <w:t>Handling an unexpected interrogation by a close associate of Character D.</w:t>
            </w:r>
          </w:p>
        </w:tc>
      </w:tr>
      <w:tr w:rsidR="00252C5D" w14:paraId="622BE336" w14:textId="77777777">
        <w:trPr>
          <w:jc w:val="center"/>
        </w:trPr>
        <w:tc>
          <w:tcPr>
            <w:tcW w:w="1728" w:type="dxa"/>
            <w:shd w:val="clear" w:color="auto" w:fill="F4F6F8"/>
            <w:tcMar>
              <w:top w:w="100" w:type="dxa"/>
              <w:left w:w="120" w:type="dxa"/>
              <w:bottom w:w="100" w:type="dxa"/>
              <w:right w:w="120" w:type="dxa"/>
            </w:tcMar>
          </w:tcPr>
          <w:p w14:paraId="2C2B4224" w14:textId="77777777" w:rsidR="00252C5D" w:rsidRDefault="001D528E">
            <w:r>
              <w:rPr>
                <w:rFonts w:ascii="Arial" w:hAnsi="Arial"/>
                <w:color w:val="323232"/>
                <w:sz w:val="19"/>
              </w:rPr>
              <w:t>Chapter 12 / Day 9</w:t>
            </w:r>
          </w:p>
        </w:tc>
        <w:tc>
          <w:tcPr>
            <w:tcW w:w="2160" w:type="dxa"/>
            <w:shd w:val="clear" w:color="auto" w:fill="F4F6F8"/>
            <w:tcMar>
              <w:top w:w="100" w:type="dxa"/>
              <w:left w:w="120" w:type="dxa"/>
              <w:bottom w:w="100" w:type="dxa"/>
              <w:right w:w="120" w:type="dxa"/>
            </w:tcMar>
          </w:tcPr>
          <w:p w14:paraId="12953420" w14:textId="77777777" w:rsidR="00252C5D" w:rsidRDefault="001D528E">
            <w:r>
              <w:rPr>
                <w:rFonts w:ascii="Arial" w:hAnsi="Arial"/>
                <w:color w:val="323232"/>
                <w:sz w:val="19"/>
              </w:rPr>
              <w:t>Role Reversal</w:t>
            </w:r>
            <w:r>
              <w:rPr>
                <w:rFonts w:ascii="Arial" w:hAnsi="Arial"/>
                <w:color w:val="323232"/>
                <w:sz w:val="19"/>
              </w:rPr>
              <w:br/>
              <w:t>(Captor &amp; Captive)</w:t>
            </w:r>
          </w:p>
        </w:tc>
        <w:tc>
          <w:tcPr>
            <w:tcW w:w="2880" w:type="dxa"/>
            <w:shd w:val="clear" w:color="auto" w:fill="F4F6F8"/>
            <w:tcMar>
              <w:top w:w="100" w:type="dxa"/>
              <w:left w:w="120" w:type="dxa"/>
              <w:bottom w:w="100" w:type="dxa"/>
              <w:right w:w="120" w:type="dxa"/>
            </w:tcMar>
          </w:tcPr>
          <w:p w14:paraId="00FD6953" w14:textId="77777777" w:rsidR="00252C5D" w:rsidRDefault="001D528E">
            <w:r>
              <w:rPr>
                <w:rFonts w:ascii="Arial" w:hAnsi="Arial"/>
                <w:color w:val="323232"/>
                <w:sz w:val="19"/>
              </w:rPr>
              <w:t>Situational power shift following facility lockdown.</w:t>
            </w:r>
          </w:p>
        </w:tc>
        <w:tc>
          <w:tcPr>
            <w:tcW w:w="2592" w:type="dxa"/>
            <w:shd w:val="clear" w:color="auto" w:fill="F4F6F8"/>
            <w:tcMar>
              <w:top w:w="100" w:type="dxa"/>
              <w:left w:w="120" w:type="dxa"/>
              <w:bottom w:w="100" w:type="dxa"/>
              <w:right w:w="120" w:type="dxa"/>
            </w:tcMar>
          </w:tcPr>
          <w:p w14:paraId="14BE4363" w14:textId="77777777" w:rsidR="00252C5D" w:rsidRDefault="001D528E">
            <w:r>
              <w:rPr>
                <w:rFonts w:ascii="Arial" w:hAnsi="Arial"/>
                <w:color w:val="323232"/>
                <w:sz w:val="19"/>
              </w:rPr>
              <w:t>Navigating the sudden shift in leverage during critical negotiations.</w:t>
            </w:r>
          </w:p>
        </w:tc>
      </w:tr>
    </w:tbl>
    <w:p w14:paraId="48B88770" w14:textId="77777777" w:rsidR="00252C5D" w:rsidRDefault="00252C5D">
      <w:pPr>
        <w:spacing w:before="120" w:after="0"/>
      </w:pPr>
    </w:p>
    <w:p w14:paraId="6A30BCBC" w14:textId="77777777" w:rsidR="00252C5D" w:rsidRDefault="001D528E">
      <w:pPr>
        <w:spacing w:before="320" w:after="120"/>
      </w:pPr>
      <w:r>
        <w:rPr>
          <w:rFonts w:ascii="Arial" w:hAnsi="Arial"/>
          <w:b/>
          <w:color w:val="293A52"/>
          <w:sz w:val="28"/>
        </w:rPr>
        <w:t>SECTION 4: Active Transformation Guardrails for Gemini</w:t>
      </w:r>
    </w:p>
    <w:tbl>
      <w:tblPr>
        <w:tblW w:w="0" w:type="auto"/>
        <w:jc w:val="center"/>
        <w:tblLook w:val="04A0" w:firstRow="1" w:lastRow="0" w:firstColumn="1" w:lastColumn="0" w:noHBand="0" w:noVBand="1"/>
      </w:tblPr>
      <w:tblGrid>
        <w:gridCol w:w="9360"/>
      </w:tblGrid>
      <w:tr w:rsidR="00252C5D" w14:paraId="32B86EAD" w14:textId="77777777">
        <w:trPr>
          <w:jc w:val="center"/>
        </w:trPr>
        <w:tc>
          <w:tcPr>
            <w:tcW w:w="9360" w:type="dxa"/>
            <w:tcBorders>
              <w:left w:val="single" w:sz="24" w:space="0" w:color="293A52"/>
            </w:tcBorders>
            <w:shd w:val="clear" w:color="auto" w:fill="F4F6F8"/>
            <w:tcMar>
              <w:top w:w="140" w:type="dxa"/>
              <w:left w:w="200" w:type="dxa"/>
              <w:bottom w:w="140" w:type="dxa"/>
              <w:right w:w="200" w:type="dxa"/>
            </w:tcMar>
          </w:tcPr>
          <w:p w14:paraId="6AC56B76" w14:textId="77777777" w:rsidR="00252C5D" w:rsidRDefault="001D528E">
            <w:pPr>
              <w:spacing w:after="0"/>
            </w:pPr>
            <w:r>
              <w:rPr>
                <w:rFonts w:ascii="Arial" w:hAnsi="Arial"/>
                <w:b/>
                <w:color w:val="293A52"/>
                <w:sz w:val="21"/>
              </w:rPr>
              <w:t xml:space="preserve">CRITICAL INSTRUCTIONS FOR AI: </w:t>
            </w:r>
            <w:r>
              <w:rPr>
                <w:rFonts w:ascii="Arial" w:hAnsi="Arial"/>
                <w:color w:val="323232"/>
                <w:sz w:val="21"/>
              </w:rPr>
              <w:t>When generating scenes involving character swaps, verify the exact participants, active physical/cognitive constraints, and ongoing cover challenges for the current in-story day. Ensure that characters explicitly acknowledge and navigate the specific nature of their swapped state without breaking established rules or pacing.</w:t>
            </w:r>
          </w:p>
        </w:tc>
      </w:tr>
    </w:tbl>
    <w:p w14:paraId="687AB065" w14:textId="77777777" w:rsidR="00252C5D" w:rsidRDefault="00252C5D">
      <w:pPr>
        <w:spacing w:after="120"/>
      </w:pPr>
    </w:p>
    <w:sectPr w:rsidR="00252C5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7210711">
    <w:abstractNumId w:val="8"/>
  </w:num>
  <w:num w:numId="2" w16cid:durableId="2037146924">
    <w:abstractNumId w:val="6"/>
  </w:num>
  <w:num w:numId="3" w16cid:durableId="1914967934">
    <w:abstractNumId w:val="5"/>
  </w:num>
  <w:num w:numId="4" w16cid:durableId="510342061">
    <w:abstractNumId w:val="4"/>
  </w:num>
  <w:num w:numId="5" w16cid:durableId="1272322204">
    <w:abstractNumId w:val="7"/>
  </w:num>
  <w:num w:numId="6" w16cid:durableId="1160269747">
    <w:abstractNumId w:val="3"/>
  </w:num>
  <w:num w:numId="7" w16cid:durableId="329647404">
    <w:abstractNumId w:val="2"/>
  </w:num>
  <w:num w:numId="8" w16cid:durableId="94131900">
    <w:abstractNumId w:val="1"/>
  </w:num>
  <w:num w:numId="9" w16cid:durableId="1965653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2"/>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28E"/>
    <w:rsid w:val="00252C5D"/>
    <w:rsid w:val="0029639D"/>
    <w:rsid w:val="00326F90"/>
    <w:rsid w:val="005F704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A7A38"/>
  <w14:defaultImageDpi w14:val="300"/>
  <w15:docId w15:val="{142A7305-6AB2-3B43-B7EC-D28C3EFAD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449</Words>
  <Characters>2561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Jim Labadie</cp:lastModifiedBy>
  <cp:revision>2</cp:revision>
  <dcterms:created xsi:type="dcterms:W3CDTF">2026-08-01T20:41:00Z</dcterms:created>
  <dcterms:modified xsi:type="dcterms:W3CDTF">2026-08-01T20:41:00Z</dcterms:modified>
  <cp:category/>
</cp:coreProperties>
</file>