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Absolutely. Here's a detailed list of the sections and potential content within the family binder: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 Binder Sections: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Agreements and Decisions: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Sleeping Arrangements (detailed)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Family Calendar (how it is managed, where to find it)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Voting System (rules, boxes)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Communication Guidelines (active listening, "I" statements, safe word)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House Hub (address, contact info)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Affirmation Notebooks (how they are used)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Respecting Boundaries (general guidelines)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Integration of Karen and Steve (how they are included)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Guidelines for the Girls (privacy, communication, safe choices)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Designated Alone Space (location, rules)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Moving In (schedule, responsibilities)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Bathroom Sharing (guidelines)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Shared Food and Drinks (grocery lists, meal planning, snack/drink areas)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Property Management: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Inventory of household items from each home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Decisions on duplicates (keep, donate, store, rotate)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Decoration plans (cohesive style, sentimental items)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Plans for unused houses (sell, rent, vacation homes, rotating items/stays)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Pros and cons list for each unused house option.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Family Traditions: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Holiday traditions (new and combined)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Birthday celebrations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Anniversaries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Other special occasions.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 Space and Alone Time: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Designated quiet room (rules, location)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General guidelines for respecting privacy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Management: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Budgeting system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Expense tracking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Shared grocery lists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Financial implications of new children.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Strategies for handling disagreements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Mediation processes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Guest Policy: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Rules for having friends/family over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Overnight guest guidelines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Pet Policy: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Responsibilities for pets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Logistics of pet ownership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Technology and Screen Time: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Ground rules for phone, computer, and TV use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Chores and Responsibilities: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Division of household tasks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Cleaning schedules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Family Evolution: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Discussions and decisions on births, leaving, adding members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Parenting roles and responsibilities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Plans for handling significant changes to the family.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Trial period guidelines for new members.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Special Occasions Log: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Birthdays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Anniversaries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Other important dates and events.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