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Corporate Aviation Fleet Directory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Below is a reference guide mapping real-world corporate, executive, and utility aircraft across major operational categories.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500"/>
        <w:gridCol w:w="990"/>
        <w:gridCol w:w="1635"/>
        <w:gridCol w:w="1500"/>
        <w:gridCol w:w="1545"/>
        <w:tblGridChange w:id="0">
          <w:tblGrid>
            <w:gridCol w:w="1740"/>
            <w:gridCol w:w="1500"/>
            <w:gridCol w:w="990"/>
            <w:gridCol w:w="1635"/>
            <w:gridCol w:w="1500"/>
            <w:gridCol w:w="154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Aircraft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Crew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Passenger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Maximum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Estimated New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Cirrus Vision Jet SF50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Light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4–5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1,200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~$3.2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Embraer Phenom 100EV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Very Light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4–6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1,178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~$4.5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Beechcraft King Air 360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Twin-Engine Turboprop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1,806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~$8.5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Pilatus PC-12 NGX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Single-Engine Turboprop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6–9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1,803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~$6.2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Embraer Phenom 300E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6–9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2,010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~$10.5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Cessna Citation CJ4 Gen2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Light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2,165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~$11.5 Million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Super King Air 200/250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Utility Turboprop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1–2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7–9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1,580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~$6.5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Bombardier Challenger 3500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Super-Midsize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9–10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3,400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~$27.0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Embraer Praetor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Super-Midsize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8–12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4,018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~$21.0 Million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Gulfstream G280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Super-Midsize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 pilots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9–10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3,600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~$25.0 Million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Gulfstream G650ER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Ultra-Long-Range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2–3 pilots + crew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13–19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7,500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~$70.0 Million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Bombardier Global 7500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Ultra-Long-Range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2–4 pilots + crew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14–19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7,700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~$75.0 Million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Dassault Falcon 8X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Ultra-Long-Range Jet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2–3 pilots + crew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12–16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6,450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~$62.0 Million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Boeing BBJ MAX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Corporate VVIP Airliner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2–4 pilots + crew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18–50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6,640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~$105.0 Million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Airbus ACJ320neo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Corporate VVIP Airliner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2–4 pilots + crew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19–30 passengers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6,000 nm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~$115.0 Million</w:t>
            </w:r>
          </w:p>
        </w:tc>
      </w:tr>
    </w:tbl>
    <w:p w:rsidR="00000000" w:rsidDel="00000000" w:rsidP="00000000" w:rsidRDefault="00000000" w:rsidRPr="00000000" w14:paraId="00000065">
      <w:pPr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Operational Profile Mapping for Fictional Corporations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Startups ($100M–$900M Valuation):</w:t>
      </w:r>
      <w:r w:rsidDel="00000000" w:rsidR="00000000" w:rsidRPr="00000000">
        <w:rPr>
          <w:color w:val="1f1f1f"/>
          <w:rtl w:val="0"/>
        </w:rPr>
        <w:t xml:space="preserve"> Rely primarily on single-engine turboprops (Pilatus PC-12) or light jets (Phenom 300) to move executive teams across regional hubs efficiently.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Mid-Cap Enterprises ($1B–$10B Valuation):</w:t>
      </w:r>
      <w:r w:rsidDel="00000000" w:rsidR="00000000" w:rsidRPr="00000000">
        <w:rPr>
          <w:color w:val="1f1f1f"/>
          <w:rtl w:val="0"/>
        </w:rPr>
        <w:t xml:space="preserve"> Fleet allocations transition toward super-midsize jets (Praetor 600, Challenger 3500) capable of direct continental and transatlantic transit without refuel stops.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Large Corporations ($40B–$100B Valuation):</w:t>
      </w:r>
      <w:r w:rsidDel="00000000" w:rsidR="00000000" w:rsidRPr="00000000">
        <w:rPr>
          <w:color w:val="1f1f1f"/>
          <w:rtl w:val="0"/>
        </w:rPr>
        <w:t xml:space="preserve"> Deploy dedicated corporate flight departments operating ultra-long-range fleets (Global 7500, Gulfstream G650ER) for round-the-clock global reach between international offices.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Apex Holding Companies ($100B–$500B Valuation):</w:t>
      </w:r>
      <w:r w:rsidDel="00000000" w:rsidR="00000000" w:rsidRPr="00000000">
        <w:rPr>
          <w:color w:val="1f1f1f"/>
          <w:rtl w:val="0"/>
        </w:rPr>
        <w:t xml:space="preserve"> Maintain heavy corporate fleets featuring VVIP airliners (Boeing BBJ, Airbus ACJ) fitted out as mobile airborne command centers.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