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8A6E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Combined Showroom — Full Product Detail</w:t>
      </w:r>
    </w:p>
    <w:p w14:paraId="58DC9399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Area 3 of the Anchor Complex. Every product </w:t>
      </w:r>
      <w:proofErr w:type="gramStart"/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 on</w:t>
      </w:r>
      <w:proofErr w:type="gramEnd"/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display in each zone, in full — not summarized. Pulled directly from </w:t>
      </w:r>
      <w:r w:rsidRPr="005157D6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presentation-technology.md</w:t>
      </w:r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157D6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threadbourne-robotics.md</w:t>
      </w:r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157D6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evergreen-biofoundry.md</w:t>
      </w:r>
      <w:r w:rsidRPr="005157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the Metis furniture catalog, and the Techne product guide.</w:t>
      </w:r>
    </w:p>
    <w:p w14:paraId="21173551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2F0083E5">
          <v:rect id="_x0000_i1025" style="width:0;height:1.5pt" o:hralign="center" o:hrstd="t" o:hr="t" fillcolor="#a0a0a0" stroked="f"/>
        </w:pict>
      </w:r>
    </w:p>
    <w:p w14:paraId="12652B03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NAS Zone — Neo-Anatomical Systems Corp</w:t>
      </w:r>
    </w:p>
    <w:p w14:paraId="4E2FC99C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Three products, per </w:t>
      </w:r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presentation-</w:t>
      </w:r>
      <w:proofErr w:type="spellStart"/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technology.md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Master Corporate Asset &amp; Product Mapping Table:</w:t>
      </w:r>
    </w:p>
    <w:p w14:paraId="1A56565E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Integration Suite (Flagship — ~$14B valuation)</w:t>
      </w:r>
    </w:p>
    <w:p w14:paraId="7D3C0ED0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Complete male-to-female body reconfiguration, fully reversible/adjustable. The complete configurable list, on display and explained in full to a visiting client or licensing partner:</w:t>
      </w:r>
    </w:p>
    <w:p w14:paraId="04114A63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Skeletal/proportion framework: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bone structure, gait, shoulder width, hip and pelvic girdle proportion, overall bone density and weight (a lighter, less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heavily-boned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frame, independent of shape).</w:t>
      </w:r>
    </w:p>
    <w:p w14:paraId="265F5F27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tissue and fat distribution: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breast development; waist, hip, and buttock reshaping; body-wide fat redistribution to a typically female pattern; independent muscle mass/tone softening.</w:t>
      </w:r>
    </w:p>
    <w:p w14:paraId="33D234EF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Facial feminization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independently adjustable: brow ridge, jaw angle, cheek fullness.</w:t>
      </w:r>
    </w:p>
    <w:p w14:paraId="22457F88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Extremity proportion: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hand and foot size, adjustable independently of overall height/frame.</w:t>
      </w:r>
    </w:p>
    <w:p w14:paraId="5F3A3B8D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Thyroid cartilage reduction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configured alongside voice modulation.</w:t>
      </w:r>
    </w:p>
    <w:p w14:paraId="580B846F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Dermal envelope: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skin, hair growth pattern and distribution.</w:t>
      </w:r>
    </w:p>
    <w:p w14:paraId="4CE48BF6" w14:textId="77777777" w:rsidR="005157D6" w:rsidRPr="005157D6" w:rsidRDefault="005157D6" w:rsidP="00515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modulation.</w:t>
      </w:r>
    </w:p>
    <w:p w14:paraId="76DA3CF2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Configuration &amp; Typical Ranges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(the reference table shown during a demonstration):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332"/>
        <w:gridCol w:w="4152"/>
      </w:tblGrid>
      <w:tr w:rsidR="005157D6" w:rsidRPr="005157D6" w14:paraId="21F59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1154A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7A77A7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Pre-Transition Baseline</w:t>
            </w:r>
          </w:p>
        </w:tc>
        <w:tc>
          <w:tcPr>
            <w:tcW w:w="0" w:type="auto"/>
            <w:vAlign w:val="center"/>
            <w:hideMark/>
          </w:tcPr>
          <w:p w14:paraId="754CE4E2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Post-Integration Target</w:t>
            </w:r>
          </w:p>
        </w:tc>
      </w:tr>
      <w:tr w:rsidR="005157D6" w:rsidRPr="005157D6" w14:paraId="1E4DE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A143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Bone density/weight</w:t>
            </w:r>
          </w:p>
        </w:tc>
        <w:tc>
          <w:tcPr>
            <w:tcW w:w="0" w:type="auto"/>
            <w:vAlign w:val="center"/>
            <w:hideMark/>
          </w:tcPr>
          <w:p w14:paraId="3FBF7D47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Denser, heavier male-typical skeletal mass</w:t>
            </w:r>
          </w:p>
        </w:tc>
        <w:tc>
          <w:tcPr>
            <w:tcW w:w="0" w:type="auto"/>
            <w:vAlign w:val="center"/>
            <w:hideMark/>
          </w:tcPr>
          <w:p w14:paraId="3035E2E3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~15–20%, lighter typical female-range density</w:t>
            </w:r>
          </w:p>
        </w:tc>
      </w:tr>
      <w:tr w:rsidR="005157D6" w:rsidRPr="005157D6" w14:paraId="54C45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8D8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Shoulder width</w:t>
            </w:r>
          </w:p>
        </w:tc>
        <w:tc>
          <w:tcPr>
            <w:tcW w:w="0" w:type="auto"/>
            <w:vAlign w:val="center"/>
            <w:hideMark/>
          </w:tcPr>
          <w:p w14:paraId="6E07A2A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Broader, male-typical</w:t>
            </w:r>
          </w:p>
        </w:tc>
        <w:tc>
          <w:tcPr>
            <w:tcW w:w="0" w:type="auto"/>
            <w:vAlign w:val="center"/>
            <w:hideMark/>
          </w:tcPr>
          <w:p w14:paraId="35F6B682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Narrowed to proportionate female-typical range</w:t>
            </w:r>
          </w:p>
        </w:tc>
      </w:tr>
      <w:tr w:rsidR="005157D6" w:rsidRPr="005157D6" w14:paraId="3389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8638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Waist-to-hip ratio</w:t>
            </w:r>
          </w:p>
        </w:tc>
        <w:tc>
          <w:tcPr>
            <w:tcW w:w="0" w:type="auto"/>
            <w:vAlign w:val="center"/>
            <w:hideMark/>
          </w:tcPr>
          <w:p w14:paraId="78BEBA6D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</w:t>
            </w:r>
            <w:proofErr w:type="gramEnd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minimal waist/hip differentiation</w:t>
            </w:r>
          </w:p>
        </w:tc>
        <w:tc>
          <w:tcPr>
            <w:tcW w:w="0" w:type="auto"/>
            <w:vAlign w:val="center"/>
            <w:hideMark/>
          </w:tcPr>
          <w:p w14:paraId="4802EE9E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~0.7 ratio (commonly cited typical female range)</w:t>
            </w:r>
          </w:p>
        </w:tc>
      </w:tr>
      <w:tr w:rsidR="005157D6" w:rsidRPr="005157D6" w14:paraId="0E38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49A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Hip width</w:t>
            </w:r>
          </w:p>
        </w:tc>
        <w:tc>
          <w:tcPr>
            <w:tcW w:w="0" w:type="auto"/>
            <w:vAlign w:val="center"/>
            <w:hideMark/>
          </w:tcPr>
          <w:p w14:paraId="35F840D7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Male-typical narrower pelvis</w:t>
            </w:r>
          </w:p>
        </w:tc>
        <w:tc>
          <w:tcPr>
            <w:tcW w:w="0" w:type="auto"/>
            <w:vAlign w:val="center"/>
            <w:hideMark/>
          </w:tcPr>
          <w:p w14:paraId="0FDC370C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Widened</w:t>
            </w:r>
          </w:p>
        </w:tc>
      </w:tr>
      <w:tr w:rsidR="005157D6" w:rsidRPr="005157D6" w14:paraId="7595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0F23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Bust</w:t>
            </w:r>
          </w:p>
        </w:tc>
        <w:tc>
          <w:tcPr>
            <w:tcW w:w="0" w:type="auto"/>
            <w:vAlign w:val="center"/>
            <w:hideMark/>
          </w:tcPr>
          <w:p w14:paraId="07F16C8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3DD8DCC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Per-client choice, not defaulted</w:t>
            </w:r>
          </w:p>
        </w:tc>
      </w:tr>
      <w:tr w:rsidR="005157D6" w:rsidRPr="005157D6" w14:paraId="2D91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16F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Hand/foot size</w:t>
            </w:r>
          </w:p>
        </w:tc>
        <w:tc>
          <w:tcPr>
            <w:tcW w:w="0" w:type="auto"/>
            <w:vAlign w:val="center"/>
            <w:hideMark/>
          </w:tcPr>
          <w:p w14:paraId="1C511504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Male-typical, larger</w:t>
            </w:r>
          </w:p>
        </w:tc>
        <w:tc>
          <w:tcPr>
            <w:tcW w:w="0" w:type="auto"/>
            <w:vAlign w:val="center"/>
            <w:hideMark/>
          </w:tcPr>
          <w:p w14:paraId="6D9FFBF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proportionate to new overall frame</w:t>
            </w:r>
          </w:p>
        </w:tc>
      </w:tr>
      <w:tr w:rsidR="005157D6" w:rsidRPr="005157D6" w14:paraId="58E93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6C5F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Muscle tone</w:t>
            </w:r>
          </w:p>
        </w:tc>
        <w:tc>
          <w:tcPr>
            <w:tcW w:w="0" w:type="auto"/>
            <w:vAlign w:val="center"/>
            <w:hideMark/>
          </w:tcPr>
          <w:p w14:paraId="181A470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Male-typical definition</w:t>
            </w:r>
          </w:p>
        </w:tc>
        <w:tc>
          <w:tcPr>
            <w:tcW w:w="0" w:type="auto"/>
            <w:vAlign w:val="center"/>
            <w:hideMark/>
          </w:tcPr>
          <w:p w14:paraId="43240BE5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Softened, redistributed beneath the new fat pattern</w:t>
            </w:r>
          </w:p>
        </w:tc>
      </w:tr>
      <w:tr w:rsidR="005157D6" w:rsidRPr="005157D6" w14:paraId="50D2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D8BE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fat percentage</w:t>
            </w:r>
          </w:p>
        </w:tc>
        <w:tc>
          <w:tcPr>
            <w:tcW w:w="0" w:type="auto"/>
            <w:vAlign w:val="center"/>
            <w:hideMark/>
          </w:tcPr>
          <w:p w14:paraId="6454B774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~10–15% male-typical</w:t>
            </w:r>
          </w:p>
        </w:tc>
        <w:tc>
          <w:tcPr>
            <w:tcW w:w="0" w:type="auto"/>
            <w:vAlign w:val="center"/>
            <w:hideMark/>
          </w:tcPr>
          <w:p w14:paraId="210ED374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~20–25%, typical female-range distribution</w:t>
            </w:r>
          </w:p>
        </w:tc>
      </w:tr>
    </w:tbl>
    <w:p w14:paraId="4443B56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Presentation Confidence: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the reconfigured body presents as complete, convincing female anatomy in every context, including full nudity and intimacy — nothing to manage, hide, or maintain.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Installation is fast, painless, </w:t>
      </w: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near-instant</w:t>
      </w:r>
      <w:proofErr w:type="gram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492F38D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Menstrual &amp; Fertility Function Module (~$5B valuation)</w:t>
      </w:r>
    </w:p>
    <w:p w14:paraId="44965ED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Reversible, wearer-controlled cycle simulation and genuine, preserved fertility regardless of active presentation mode — kept deliberately undetailed at the anatomical level in all materials, including this showroom's own demonstration script.</w:t>
      </w:r>
    </w:p>
    <w:p w14:paraId="57C0FFE6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Selective Partner Licensing Program (~$3B valuation)</w:t>
      </w:r>
    </w:p>
    <w:p w14:paraId="2225F153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A small number of vetted clinical and research partnerships, licensing narrow slices of the underlying technology (never the full Integration Suite) for legitimate outside medical use. This is the product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actually being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pitched to most visitors in this zone — full personal-use Integration Suites aren't licensed out; narrow technology slices are.</w:t>
      </w:r>
    </w:p>
    <w:p w14:paraId="24A7BDA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Daily Revenue: ~$10M/day.</w:t>
      </w:r>
    </w:p>
    <w:p w14:paraId="52240BA8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41D0A290">
          <v:rect id="_x0000_i1026" style="width:0;height:1.5pt" o:hralign="center" o:hrstd="t" o:hr="t" fillcolor="#a0a0a0" stroked="f"/>
        </w:pict>
      </w:r>
    </w:p>
    <w:p w14:paraId="4BE01142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OAM Zone —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Omnitech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Aesthetic &amp; Body Modification Group</w:t>
      </w:r>
    </w:p>
    <w:p w14:paraId="6E02FA0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Seven products, per </w:t>
      </w:r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presentation-</w:t>
      </w:r>
      <w:proofErr w:type="spellStart"/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technology.md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Master Corporate Asset &amp; Product Mapping Table:</w:t>
      </w:r>
    </w:p>
    <w:p w14:paraId="033EAB59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Aura-Matrix V-10 Treatment Pod (Flagship — ~$12B valuation)</w:t>
      </w:r>
    </w:p>
    <w:p w14:paraId="16402FD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An obsidian-trimmed sculptural treatment pod with biometric sensors and multi-axis micro-articulated nano-dispensers. Configures to a subject's target presentation profile within seconds of stepping onto the diagnostic platform.</w:t>
      </w:r>
    </w:p>
    <w:p w14:paraId="377892B8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Consultation process,</w:t>
      </w:r>
      <w:proofErr w:type="gram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demonstrated live: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every visitor sees the two-path consultation model —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Curated Packages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(pre-designed combinations at minimalist/moderate/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maximalist intensity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tiers) or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Custom Build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 item selection, previewed live via the Preview Array). The pod then executes across three synchronized phases, each ~1 hour under full automation regardless of selection complexity (versus 9–11 hours of staggered manual labor traditionally):</w:t>
      </w:r>
    </w:p>
    <w:p w14:paraId="27A16321" w14:textId="77777777" w:rsidR="005157D6" w:rsidRPr="005157D6" w:rsidRDefault="005157D6" w:rsidP="00515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Salon, Hydrotherapy, &amp; Hair Architecture (Hour 1)</w:t>
      </w:r>
    </w:p>
    <w:p w14:paraId="7564AAFF" w14:textId="77777777" w:rsidR="005157D6" w:rsidRPr="005157D6" w:rsidRDefault="005157D6" w:rsidP="00515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Body Piercing Curation &amp; Fine Jewelry Integration (Hour </w:t>
      </w: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no genital/intimate placements, by deliberate design.</w:t>
      </w:r>
    </w:p>
    <w:p w14:paraId="3200F9D0" w14:textId="77777777" w:rsidR="005157D6" w:rsidRPr="005157D6" w:rsidRDefault="005157D6" w:rsidP="00515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Dermal Tattooing &amp; Fine-Line Pigmentation (Hour 3)</w:t>
      </w:r>
    </w:p>
    <w:p w14:paraId="6A7C8018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 shown to visitors: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321"/>
        <w:gridCol w:w="4374"/>
      </w:tblGrid>
      <w:tr w:rsidR="005157D6" w:rsidRPr="005157D6" w14:paraId="45539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B0943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AF226F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Manual Protocol</w:t>
            </w:r>
          </w:p>
        </w:tc>
        <w:tc>
          <w:tcPr>
            <w:tcW w:w="0" w:type="auto"/>
            <w:vAlign w:val="center"/>
            <w:hideMark/>
          </w:tcPr>
          <w:p w14:paraId="5BC8E705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Aura-Matrix V-10</w:t>
            </w:r>
          </w:p>
        </w:tc>
      </w:tr>
      <w:tr w:rsidR="005157D6" w:rsidRPr="005157D6" w14:paraId="2FFD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C74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Timeline</w:t>
            </w:r>
          </w:p>
        </w:tc>
        <w:tc>
          <w:tcPr>
            <w:tcW w:w="0" w:type="auto"/>
            <w:vAlign w:val="center"/>
            <w:hideMark/>
          </w:tcPr>
          <w:p w14:paraId="6B1AB80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appointments over weeks; 9–11 hours staggered labor.</w:t>
            </w:r>
          </w:p>
        </w:tc>
        <w:tc>
          <w:tcPr>
            <w:tcW w:w="0" w:type="auto"/>
            <w:vAlign w:val="center"/>
            <w:hideMark/>
          </w:tcPr>
          <w:p w14:paraId="7B135702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 hours total, synchronized.</w:t>
            </w:r>
          </w:p>
        </w:tc>
      </w:tr>
      <w:tr w:rsidR="005157D6" w:rsidRPr="005157D6" w14:paraId="7320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F52D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Specialist Engagement</w:t>
            </w:r>
          </w:p>
        </w:tc>
        <w:tc>
          <w:tcPr>
            <w:tcW w:w="0" w:type="auto"/>
            <w:vAlign w:val="center"/>
            <w:hideMark/>
          </w:tcPr>
          <w:p w14:paraId="234A906C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Multi-disciplinary human team required.</w:t>
            </w:r>
          </w:p>
        </w:tc>
        <w:tc>
          <w:tcPr>
            <w:tcW w:w="0" w:type="auto"/>
            <w:vAlign w:val="center"/>
            <w:hideMark/>
          </w:tcPr>
          <w:p w14:paraId="7E93473D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human intervention during execution; automated optical mapping and nano-dispensers.</w:t>
            </w:r>
          </w:p>
        </w:tc>
      </w:tr>
      <w:tr w:rsidR="005157D6" w:rsidRPr="005157D6" w14:paraId="3E4D9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11D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Margin</w:t>
            </w:r>
          </w:p>
        </w:tc>
        <w:tc>
          <w:tcPr>
            <w:tcW w:w="0" w:type="auto"/>
            <w:vAlign w:val="center"/>
            <w:hideMark/>
          </w:tcPr>
          <w:p w14:paraId="2A5B40C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Dependent on human hand stability and fatigue.</w:t>
            </w:r>
          </w:p>
        </w:tc>
        <w:tc>
          <w:tcPr>
            <w:tcW w:w="0" w:type="auto"/>
            <w:vAlign w:val="center"/>
            <w:hideMark/>
          </w:tcPr>
          <w:p w14:paraId="09D15243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Sub-millimeter laser guidance, real-time skin mapping.</w:t>
            </w:r>
          </w:p>
        </w:tc>
      </w:tr>
    </w:tbl>
    <w:p w14:paraId="4176D68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recovery time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three phases.</w:t>
      </w:r>
    </w:p>
    <w:p w14:paraId="07116CA3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Synchronized Salon &amp; Laser-Guided Resurfacing Array (~$6B valuation)</w:t>
      </w:r>
    </w:p>
    <w:p w14:paraId="4281706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Robotic system executing deep scalp detoxifications, hyper-oxygenated facial resurfacing, botanical brow shaping, and hybrid micro-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fusion hair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extension weaving simultaneously.</w:t>
      </w:r>
    </w:p>
    <w:p w14:paraId="7AC1C1F5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Multi-Point Piercing Curation System (~$5B valuation)</w:t>
      </w:r>
    </w:p>
    <w:p w14:paraId="763ACA17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High-speed optical mapping and pneumatic sterile needle arrays executing complex multi-point piercings (ear constellations, facial placements) while instantly seating solid 14k/18k gold or gemstone jewelry.</w:t>
      </w:r>
    </w:p>
    <w:p w14:paraId="4867B862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Multi-Needle Micro-Pigmentation Array (~$4B valuation)</w:t>
      </w:r>
    </w:p>
    <w:p w14:paraId="4E197452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Real-time skin elasticity and pigment-absorption mapping heads applying flawless fine-line tattoos, custom star maps, or fine-gradient color palettes with zero human margin of error.</w:t>
      </w:r>
    </w:p>
    <w:p w14:paraId="41905D22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Aura-Matrix Olfactory Suite (~$3B valuation)</w:t>
      </w:r>
    </w:p>
    <w:p w14:paraId="5A51B80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Biometric-responsive fragrance compounding, blending a signature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scent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to the wearer's own chemistry in real time. (The same system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installed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in the estate's own Cascade Array.)</w:t>
      </w:r>
    </w:p>
    <w:p w14:paraId="0C0E5DE8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Aura-Matrix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ChromaBlend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Dispensary (~$3.5B valuation)</w:t>
      </w:r>
    </w:p>
    <w:p w14:paraId="1E3553F1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Real-time, biometric shade-compounding for foundation, lip, and blush products — no fixed shade range, ever.</w:t>
      </w:r>
    </w:p>
    <w:p w14:paraId="7EE2030A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Aura-Matrix Preview Array (~$2.5B valuation)</w:t>
      </w:r>
    </w:p>
    <w:p w14:paraId="3F9B8334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Accurate visual preview-rendering technology — the same system used by AWS mannequins and the OAM consultation process itself, demonstrated here as its own standalone licensable product.</w:t>
      </w:r>
    </w:p>
    <w:p w14:paraId="4C05435F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Daily Revenue: ~$18M/day.</w:t>
      </w:r>
    </w:p>
    <w:p w14:paraId="00F6796B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7BF934E4">
          <v:rect id="_x0000_i1027" style="width:0;height:1.5pt" o:hralign="center" o:hrstd="t" o:hr="t" fillcolor="#a0a0a0" stroked="f"/>
        </w:pict>
      </w:r>
    </w:p>
    <w:p w14:paraId="0A9CB28D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Threadbourne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Robotics Zone</w:t>
      </w:r>
    </w:p>
    <w:p w14:paraId="387A72F0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Six products, per </w:t>
      </w:r>
      <w:proofErr w:type="spellStart"/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threadbourne-robotics.md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Master Corporate Asset &amp; Product Mapping Table:</w:t>
      </w:r>
    </w:p>
    <w:p w14:paraId="4C982A81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Wardrobe System — AWS (Flagship — ~$9B valuation)</w:t>
      </w:r>
    </w:p>
    <w:p w14:paraId="04A379C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Fourteen standing, visible dressmaker's-form mannequins serviced by six mobile retrieval robots with articulated arms (docked out of sight when idle). Biometric fitting by default, on-request preview against alternate dimensions, selectable voice-mode interface.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complete sets on display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 one running live retrieval-and-dressing demonstrations, one held as working spare, per the same duplication logic used everywhere in this portfolio.</w:t>
      </w:r>
    </w:p>
    <w:p w14:paraId="0E834B6B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Discreet Asset Tag Platform (~$11B valuation)</w:t>
      </w:r>
    </w:p>
    <w:p w14:paraId="5DF0FAF8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Near-invisible electronic tags embedded during manufacturing, tracking identity, provenance, ownership history, and usage. Licensed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industry-wide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as anti-counterfeiting infrastructure.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scanner demonstration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 a visitor watches a tagged garment authenticate instantly.</w:t>
      </w:r>
    </w:p>
    <w:p w14:paraId="00D8F7A8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Apparel Manufacturing Lines (~$7B valuation)</w:t>
      </w:r>
    </w:p>
    <w:p w14:paraId="1EA1894D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Fully automated garment production — robotic pattern-cutting, articulated sewing arms, zero-defect optical quality control.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genuine working line segment on display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, scaled down from the full industrial line at the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Threadbourne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Works but functionally real, not a mockup.</w:t>
      </w:r>
    </w:p>
    <w:p w14:paraId="361D1B54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Adaptive Textile Research </w:t>
      </w: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Division — "</w:t>
      </w:r>
      <w:proofErr w:type="gramEnd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Living Fabric" (~$3B valuation)</w:t>
      </w:r>
    </w:p>
    <w:p w14:paraId="15AE2804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Early-stage self-repairing fibers, climate-responsive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weaves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stretch-adaptive fabrics. Framed to visitors as ongoing R&amp;D, not a finished commercial product — a sample display rather than a working demonstration line.</w:t>
      </w:r>
    </w:p>
    <w:p w14:paraId="5541EFFA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Self-Service Tailoring Kiosks (~$4B valuation)</w:t>
      </w:r>
    </w:p>
    <w:p w14:paraId="5DA03172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Scaled-down, publicly deployable robotic tailoring — instant measurement and on-the-spot alteration.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Visitors can try it themselves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on a garment brought for the purpose.</w:t>
      </w:r>
    </w:p>
    <w:p w14:paraId="6595C445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Threadbourne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Home (~$6B valuation)</w:t>
      </w:r>
    </w:p>
    <w:p w14:paraId="3D976D73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The consumer-scale version of AWS — smaller, no tailoring capability. Displayed as a retrofit unit a visitor could picture in an ordinary residential closet, in deliberate contrast to the full AWS sets nearby.</w:t>
      </w:r>
    </w:p>
    <w:p w14:paraId="754E9B35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Daily Revenue: ~$22M/day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 the highest of the four active subsidiaries.</w:t>
      </w:r>
    </w:p>
    <w:p w14:paraId="63A53690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226F1314">
          <v:rect id="_x0000_i1028" style="width:0;height:1.5pt" o:hralign="center" o:hrstd="t" o:hr="t" fillcolor="#a0a0a0" stroked="f"/>
        </w:pict>
      </w:r>
    </w:p>
    <w:p w14:paraId="542B2B52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Evergreen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Biofoundry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</w:t>
      </w:r>
    </w:p>
    <w:p w14:paraId="1729D00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Three products, per </w:t>
      </w:r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evergreen-</w:t>
      </w:r>
      <w:proofErr w:type="spellStart"/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biofoundry.md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Master Corporate Asset &amp; Product Mapping Table:</w:t>
      </w:r>
    </w:p>
    <w:p w14:paraId="3A1EF503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Perennial Restoration Program (~$5B valuation)</w:t>
      </w:r>
    </w:p>
    <w:p w14:paraId="50AA44B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Genuine, permanent biological hair regrowth and thickness restoration — a natural alternative to OAM's instant extension-based work: slower, but permanent rather than reversible.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working treatment chair on display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identical to the estate's own residential unit.</w:t>
      </w:r>
    </w:p>
    <w:p w14:paraId="2F1AE50B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Genesis Gem Foundry (~$6B valuation)</w:t>
      </w:r>
    </w:p>
    <w:p w14:paraId="35D19231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Lab-grown fine gemstones and precious metals, chemically and structurally identical to mined equivalents, entirely free of extraction-industry supply chains.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consultation nook showing the finished-piece side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of the process — the actual growth facility sits at the Evergreen Foundry in Jamestown, not here.</w:t>
      </w:r>
    </w:p>
    <w:p w14:paraId="43E2284F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Traceroot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Materials Initiative (~$4B valuation)</w:t>
      </w:r>
    </w:p>
    <w:p w14:paraId="5631359D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Full-chain material sourcing verification and ethical-sourcing certification.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physical demonstration unit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 per canon, this has "no meaningful physical household presence," being back-office/supply-chain infrastructure. Represented in this zone via data displays and case studies rather than a working installation.</w:t>
      </w:r>
    </w:p>
    <w:p w14:paraId="38E2BCD9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Daily Revenue: ~$6M/day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— smallest of the four, reflecting its B2B-oriented product mix.</w:t>
      </w:r>
    </w:p>
    <w:p w14:paraId="6D73B17D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1A3BB0AC">
          <v:rect id="_x0000_i1029" style="width:0;height:1.5pt" o:hralign="center" o:hrstd="t" o:hr="t" fillcolor="#a0a0a0" stroked="f"/>
        </w:pict>
      </w:r>
    </w:p>
    <w:p w14:paraId="0A6CEE64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Metis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Werks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(Inactive — architecturally complete, unused until acquisition closes)</w:t>
      </w:r>
    </w:p>
    <w:p w14:paraId="10022E0D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product catalog — the salon/barber/spa/wellness furniture line, real-brand-</w:t>
      </w: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styled</w:t>
      </w:r>
      <w:proofErr w:type="gram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 Takara Belmont and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Belava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AD5348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 Chairs (20):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Bellus (ST-U30), Bossa Nova (BMST-100), Captain II, Choco (ST-M90), Emerald, Facet, Fiore, Ghia, Harp, Knoll, Lioness,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Luxis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Nagi, Nami, Novo, Odin, Sara, Shiki, Strip Tease, Virtus.</w:t>
      </w:r>
    </w:p>
    <w:p w14:paraId="1A60D197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Barber Chairs (4):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Elegance BB-225, Elegance BB-825, Legacy 100, Legend.</w:t>
      </w:r>
    </w:p>
    <w:p w14:paraId="0F555EEE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Head-Spa Systems (3):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YUME Suite, YUME Noble, YUME Espoir — motorized fully reclining scalp-treatment beds, multi-axis ceramic basins, continuous-flow water circulation.</w:t>
      </w:r>
    </w:p>
    <w:p w14:paraId="59279877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Shampoo/Backwash Units (2 families):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RS Prime / RS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Luxis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/ RS Elite (pivoting porcelain sink assemblies, UPC-certified vacuum breakers); Bellus / Lusso / Novo / Odin / Sara /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Tessoro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/ Virtus Backwash Units.</w:t>
      </w:r>
    </w:p>
    <w:p w14:paraId="5F10FC6C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Hair Processing &amp; Treatment (3):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Roller Ball F Hair Processor (orbital thermal infrared accelerator), Micro Mist Hair Steamer, Spa Mist II Treatment System.</w:t>
      </w:r>
    </w:p>
    <w:p w14:paraId="29B0AA5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Pedicure Spas (9 lines, most with no-plumbing/plumbed variants):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Element, Impact, Luna, Eclipse, Dorset (each ×2), Advantage Jet Pedi Spa Chair, Grace Hydraulic, Essence, Pedi Rock.</w:t>
      </w:r>
    </w:p>
    <w:p w14:paraId="798426D8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Trolleys, Carts &amp; Accessories (8):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Elora Manicure Table, Elora Manicure Dolly, Elora Pedicure Supply Cart, Elora Esthetician Cart, Trio Foot Spa Basin, Pro Foot Massager Unit,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Wooden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Foot Rest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Rovello Manicure Workstation.</w:t>
      </w:r>
    </w:p>
    <w:p w14:paraId="5DD318BD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total named products.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Full individual specifications (materials, hydraulics, features per line) already compiled in the standalone Metis Wellness &amp; Clinical Pavilion document if needed again in full.</w:t>
      </w:r>
    </w:p>
    <w:p w14:paraId="0668F6A3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7EF5781E">
          <v:rect id="_x0000_i1030" style="width:0;height:1.5pt" o:hralign="center" o:hrstd="t" o:hr="t" fillcolor="#a0a0a0" stroked="f"/>
        </w:pict>
      </w:r>
    </w:p>
    <w:p w14:paraId="03CA74E1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Techne Zone (Inactive — architecturally complete, unused until acquisition closes)</w:t>
      </w:r>
    </w:p>
    <w:p w14:paraId="08F28EEB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Five product lines, per the corrected </w:t>
      </w:r>
      <w:r w:rsidRPr="005157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techne.md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(Techne Studio Systems removed — that product belongs to Metis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, above):</w:t>
      </w:r>
    </w:p>
    <w:p w14:paraId="5C61832B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Techne Loom &amp; Knit Systems (~$4B valuation)</w:t>
      </w:r>
    </w:p>
    <w:p w14:paraId="23F1F27F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Computer-controlled weaving/knitting machinery.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display: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 digital-jacquard loom running live pattern-change demonstrations, a knitting machine on the Unified Knit-Logic Platform switching between circular and flatbed modes, a smart-tension rig demonstrating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individually-monitored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warp tensioning against deliberately uneven test material. Direct replacement target for Metis </w:t>
      </w:r>
      <w:proofErr w:type="spell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' own legacy shuttle looms and ring spinning frames.</w:t>
      </w:r>
    </w:p>
    <w:p w14:paraId="13F0BEDE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Techne </w:t>
      </w:r>
      <w:proofErr w:type="spellStart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CutSew</w:t>
      </w:r>
      <w:proofErr w:type="spellEnd"/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Automation (~$5B valuation)</w:t>
      </w:r>
    </w:p>
    <w:p w14:paraId="15D6FE21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Robotic cutting, sewing, and precision finishing.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display: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an AI-pathing cutting station, an adaptive-stitch-head sewing cell switching between woven and knit material without a hardware change, and the finishing-robotics demonstration bench — a side-by-side comparison of a hand-finished hem against the robotic equivalent, the single most persuasive demonstration in the whole zone since no fully automated industry equivalent for hand-finishing-quality hemming currently exists.</w:t>
      </w:r>
    </w:p>
    <w:p w14:paraId="73DFE34B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Techne Footwear Tooling Systems (~$2.5B valuation)</w:t>
      </w:r>
    </w:p>
    <w:p w14:paraId="6F1FB3FF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Molds,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lasts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, and production tooling.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display: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 robotic lasting system running a live toe/side/heel sequence, and a pressure-mapped sole press with real-time visual pressure-distribution readout, shown against a cutaway sample of an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unevenly-pressed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sole from legacy equipment.</w:t>
      </w:r>
    </w:p>
    <w:p w14:paraId="2E49324D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Techne Formulation &amp; Fill Systems (~$3B valuation)</w:t>
      </w:r>
    </w:p>
    <w:p w14:paraId="491B86C5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Mixing, blending, and filling-line equipment for beauty and fragrance manufacturing. </w:t>
      </w: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display: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a computer-controlled formulation station demonstrating sensor-verified batch matching against a deliberately mismatched sample, and a multi-format filling line switching between bottle, tube, and jar output on request.</w:t>
      </w:r>
    </w:p>
    <w:p w14:paraId="400E0264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Techne Equipment Licensing Program (~$2B valuation)</w:t>
      </w:r>
    </w:p>
    <w:p w14:paraId="747E9376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Not a physical product — direct equipment sales, licensing deals, and engineering consulting. This is where every demonstration in this zone </w:t>
      </w:r>
      <w:proofErr w:type="gramStart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>actually converts</w:t>
      </w:r>
      <w:proofErr w:type="gramEnd"/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into a deal; represented by the Licensing Negotiation Room rather than a display unit.</w:t>
      </w:r>
    </w:p>
    <w:p w14:paraId="36EC0D9A" w14:textId="77777777" w:rsidR="005157D6" w:rsidRPr="005157D6" w:rsidRDefault="005157D6" w:rsidP="0051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Techne valuation: ~$16.5B</w:t>
      </w:r>
      <w:r w:rsidRPr="005157D6">
        <w:rPr>
          <w:rFonts w:ascii="Times New Roman" w:eastAsia="Times New Roman" w:hAnsi="Times New Roman" w:cs="Times New Roman"/>
          <w:kern w:val="0"/>
          <w14:ligatures w14:val="none"/>
        </w:rPr>
        <w:t xml:space="preserve"> (post-correction).</w:t>
      </w:r>
    </w:p>
    <w:p w14:paraId="18D2B0FA" w14:textId="77777777" w:rsidR="005157D6" w:rsidRPr="005157D6" w:rsidRDefault="005157D6" w:rsidP="005157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D6">
        <w:rPr>
          <w:rFonts w:ascii="Times New Roman" w:eastAsia="Times New Roman" w:hAnsi="Times New Roman" w:cs="Times New Roman"/>
          <w:kern w:val="0"/>
          <w14:ligatures w14:val="none"/>
        </w:rPr>
        <w:pict w14:anchorId="2A0E1B99">
          <v:rect id="_x0000_i1031" style="width:0;height:1.5pt" o:hralign="center" o:hrstd="t" o:hr="t" fillcolor="#a0a0a0" stroked="f"/>
        </w:pict>
      </w:r>
    </w:p>
    <w:p w14:paraId="65DC2D1A" w14:textId="77777777" w:rsidR="005157D6" w:rsidRPr="005157D6" w:rsidRDefault="005157D6" w:rsidP="00515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Summary Table — Every Product </w:t>
      </w:r>
      <w:proofErr w:type="gramStart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By</w:t>
      </w:r>
      <w:proofErr w:type="gramEnd"/>
      <w:r w:rsidRPr="00515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587"/>
        <w:gridCol w:w="848"/>
      </w:tblGrid>
      <w:tr w:rsidR="005157D6" w:rsidRPr="005157D6" w14:paraId="66CD8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B26D2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8CD211B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Count</w:t>
            </w:r>
          </w:p>
        </w:tc>
        <w:tc>
          <w:tcPr>
            <w:tcW w:w="0" w:type="auto"/>
            <w:vAlign w:val="center"/>
            <w:hideMark/>
          </w:tcPr>
          <w:p w14:paraId="407BC1FB" w14:textId="77777777" w:rsidR="005157D6" w:rsidRPr="005157D6" w:rsidRDefault="005157D6" w:rsidP="00515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157D6" w:rsidRPr="005157D6" w14:paraId="6F28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B6E1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5A83C06F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7A5558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5157D6" w:rsidRPr="005157D6" w14:paraId="44BE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C71E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OAM</w:t>
            </w:r>
          </w:p>
        </w:tc>
        <w:tc>
          <w:tcPr>
            <w:tcW w:w="0" w:type="auto"/>
            <w:vAlign w:val="center"/>
            <w:hideMark/>
          </w:tcPr>
          <w:p w14:paraId="71587C9F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B1DED6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5157D6" w:rsidRPr="005157D6" w14:paraId="7765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8C72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Threadbourne</w:t>
            </w:r>
            <w:proofErr w:type="spellEnd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Robotics</w:t>
            </w:r>
          </w:p>
        </w:tc>
        <w:tc>
          <w:tcPr>
            <w:tcW w:w="0" w:type="auto"/>
            <w:vAlign w:val="center"/>
            <w:hideMark/>
          </w:tcPr>
          <w:p w14:paraId="5DBBE062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9BE9D2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5157D6" w:rsidRPr="005157D6" w14:paraId="3E7C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550D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Evergreen </w:t>
            </w:r>
            <w:proofErr w:type="spellStart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Biofoundry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9A3F9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544F89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5157D6" w:rsidRPr="005157D6" w14:paraId="5E363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0589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Metis </w:t>
            </w:r>
            <w:proofErr w:type="spellStart"/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721E6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83C5930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</w:p>
        </w:tc>
      </w:tr>
      <w:tr w:rsidR="005157D6" w:rsidRPr="005157D6" w14:paraId="3DEE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3B6E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</w:t>
            </w:r>
          </w:p>
        </w:tc>
        <w:tc>
          <w:tcPr>
            <w:tcW w:w="0" w:type="auto"/>
            <w:vAlign w:val="center"/>
            <w:hideMark/>
          </w:tcPr>
          <w:p w14:paraId="20C5C8C6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B4174A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</w:p>
        </w:tc>
      </w:tr>
      <w:tr w:rsidR="005157D6" w:rsidRPr="005157D6" w14:paraId="24D6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D659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650B9F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E7B8CD5" w14:textId="77777777" w:rsidR="005157D6" w:rsidRPr="005157D6" w:rsidRDefault="005157D6" w:rsidP="00515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7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0EEBF8EE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4A53"/>
    <w:multiLevelType w:val="multilevel"/>
    <w:tmpl w:val="529A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96AC2"/>
    <w:multiLevelType w:val="multilevel"/>
    <w:tmpl w:val="AF9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845727">
    <w:abstractNumId w:val="1"/>
  </w:num>
  <w:num w:numId="2" w16cid:durableId="167634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D6"/>
    <w:rsid w:val="00116558"/>
    <w:rsid w:val="005157D6"/>
    <w:rsid w:val="00A36E99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7233"/>
  <w15:chartTrackingRefBased/>
  <w15:docId w15:val="{F55A9A35-9610-4A10-BE10-8F02D05B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1876</Words>
  <Characters>11859</Characters>
  <Application>Microsoft Office Word</Application>
  <DocSecurity>0</DocSecurity>
  <Lines>237</Lines>
  <Paragraphs>66</Paragraphs>
  <ScaleCrop>false</ScaleCrop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2026-09-08T19:07:00Z</dcterms:created>
  <dcterms:modified xsi:type="dcterms:W3CDTF">2026-09-08T19:07:00Z</dcterms:modified>
</cp:coreProperties>
</file>