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7D3B" w14:textId="77777777" w:rsidR="00D6712F" w:rsidRPr="00D6712F" w:rsidRDefault="00D6712F" w:rsidP="00D6712F"/>
    <w:p w14:paraId="3CFCE6CC" w14:textId="77777777" w:rsidR="00D6712F" w:rsidRPr="00D6712F" w:rsidRDefault="00D6712F" w:rsidP="00D6712F">
      <w:pPr>
        <w:rPr>
          <w:b/>
          <w:bCs/>
        </w:rPr>
      </w:pPr>
      <w:r w:rsidRPr="00D6712F">
        <w:rPr>
          <w:b/>
          <w:bCs/>
        </w:rPr>
        <w:t>The Patronage &amp; Partnership Strategic Plan</w:t>
      </w:r>
    </w:p>
    <w:p w14:paraId="4D2EF9F3" w14:textId="77777777" w:rsidR="00D6712F" w:rsidRPr="00D6712F" w:rsidRDefault="00D6712F" w:rsidP="00D6712F">
      <w:r w:rsidRPr="00D6712F">
        <w:t>The Patronage Shift: Moving away from hostile corporate takeovers and aggressive majority buyouts, Jim's wealth and infrastructure could be weaponized to support creators directly on their own terms.  </w:t>
      </w:r>
    </w:p>
    <w:p w14:paraId="1E37BC6A" w14:textId="77777777" w:rsidR="00D6712F" w:rsidRPr="00D6712F" w:rsidRDefault="00D6712F" w:rsidP="00D6712F">
      <w:r w:rsidRPr="00D6712F">
        <w:t> Empowering the Purists: For fiercely independent avant-garde houses like Comme des Garçons (Rank 48) and Rick Owens (Rank 30), or family-run artisan studios like Manolo Blahnik (Rank 73) and Kiton (Rank 65), traditional corporate interference is toxic. A patron-style partnership offers unconditional financial backing, supply-chain access through assets like Bleckmann and Crown Logistics, and manufacturing security without demanding creative compromise or board-level control.  </w:t>
      </w:r>
    </w:p>
    <w:p w14:paraId="5B43FFE1" w14:textId="77777777" w:rsidR="00D6712F" w:rsidRPr="00D6712F" w:rsidRDefault="00D6712F" w:rsidP="00D6712F">
      <w:r w:rsidRPr="00D6712F">
        <w:t> Collaborative Studios: Rather than enforcing corporate restructuring, Jim could establish collaborative design residencies within the estate's vast reserve spaces or global properties, inviting legendary creators to experiment freely with advanced textile technologies and biotech integration.</w:t>
      </w:r>
    </w:p>
    <w:p w14:paraId="5ABC3E9E" w14:textId="77777777" w:rsidR="00D6712F" w:rsidRPr="00D6712F" w:rsidRDefault="00D6712F" w:rsidP="00D6712F">
      <w:r w:rsidRPr="00D6712F">
        <w:br/>
      </w:r>
    </w:p>
    <w:p w14:paraId="02BB121D" w14:textId="77777777" w:rsidR="00D6712F" w:rsidRPr="00D6712F" w:rsidRDefault="00D6712F" w:rsidP="00D6712F">
      <w:pPr>
        <w:numPr>
          <w:ilvl w:val="0"/>
          <w:numId w:val="1"/>
        </w:numPr>
      </w:pPr>
      <w:r w:rsidRPr="00D6712F">
        <w:rPr>
          <w:b/>
          <w:bCs/>
        </w:rPr>
        <w:t>Capital Allocation for Patronage Grants &amp; Minority Stakes</w:t>
      </w:r>
      <w:r w:rsidRPr="00D6712F">
        <w:t xml:space="preserve">: To secure informal, highly favorable partnerships and strategic equity blocks across the remaining independent purists—such as </w:t>
      </w:r>
      <w:r w:rsidRPr="00D6712F">
        <w:rPr>
          <w:i/>
          <w:iCs/>
        </w:rPr>
        <w:t>Comme des Garçons</w:t>
      </w:r>
      <w:r w:rsidRPr="00D6712F">
        <w:t xml:space="preserve">, </w:t>
      </w:r>
      <w:r w:rsidRPr="00D6712F">
        <w:rPr>
          <w:i/>
          <w:iCs/>
        </w:rPr>
        <w:t>Rick Owens</w:t>
      </w:r>
      <w:r w:rsidRPr="00D6712F">
        <w:t xml:space="preserve">, </w:t>
      </w:r>
      <w:r w:rsidRPr="00D6712F">
        <w:rPr>
          <w:i/>
          <w:iCs/>
        </w:rPr>
        <w:t>Manolo Blahnik</w:t>
      </w:r>
      <w:r w:rsidRPr="00D6712F">
        <w:t xml:space="preserve">, </w:t>
      </w:r>
      <w:proofErr w:type="spellStart"/>
      <w:r w:rsidRPr="00D6712F">
        <w:rPr>
          <w:i/>
          <w:iCs/>
        </w:rPr>
        <w:t>Goyard</w:t>
      </w:r>
      <w:proofErr w:type="spellEnd"/>
      <w:r w:rsidRPr="00D6712F">
        <w:t xml:space="preserve">, and </w:t>
      </w:r>
      <w:r w:rsidRPr="00D6712F">
        <w:rPr>
          <w:i/>
          <w:iCs/>
        </w:rPr>
        <w:t>Kiton</w:t>
      </w:r>
      <w:r w:rsidRPr="00D6712F">
        <w:t xml:space="preserve">—without resorting to hostile takeovers, the plan allocates </w:t>
      </w:r>
      <w:r w:rsidRPr="00D6712F">
        <w:rPr>
          <w:b/>
          <w:bCs/>
        </w:rPr>
        <w:t>$15 Billion to $25 Billion</w:t>
      </w:r>
      <w:r w:rsidRPr="00D6712F">
        <w:t xml:space="preserve"> in direct, no-strings-attached financial grants, artistic subsidies, and supportive equity backing.</w:t>
      </w:r>
    </w:p>
    <w:p w14:paraId="5DB2866D" w14:textId="77777777" w:rsidR="00D6712F" w:rsidRPr="00D6712F" w:rsidRDefault="00D6712F" w:rsidP="00D6712F">
      <w:pPr>
        <w:numPr>
          <w:ilvl w:val="0"/>
          <w:numId w:val="1"/>
        </w:numPr>
      </w:pPr>
      <w:r w:rsidRPr="00D6712F">
        <w:rPr>
          <w:b/>
          <w:bCs/>
        </w:rPr>
        <w:t>Logistics &amp; Supply Chain Subsidization</w:t>
      </w:r>
      <w:r w:rsidRPr="00D6712F">
        <w:t xml:space="preserve">: Leveraging our unranked infrastructure </w:t>
      </w:r>
      <w:proofErr w:type="gramStart"/>
      <w:r w:rsidRPr="00D6712F">
        <w:t>assets—</w:t>
      </w:r>
      <w:proofErr w:type="gramEnd"/>
      <w:r w:rsidRPr="00D6712F">
        <w:t xml:space="preserve">including </w:t>
      </w:r>
      <w:r w:rsidRPr="00D6712F">
        <w:rPr>
          <w:i/>
          <w:iCs/>
        </w:rPr>
        <w:t>Bleckmann Global Logistics</w:t>
      </w:r>
      <w:r w:rsidRPr="00D6712F">
        <w:t xml:space="preserve"> and </w:t>
      </w:r>
      <w:r w:rsidRPr="00D6712F">
        <w:rPr>
          <w:i/>
          <w:iCs/>
        </w:rPr>
        <w:t xml:space="preserve">Crown </w:t>
      </w:r>
      <w:proofErr w:type="gramStart"/>
      <w:r w:rsidRPr="00D6712F">
        <w:rPr>
          <w:i/>
          <w:iCs/>
        </w:rPr>
        <w:t>Logistics</w:t>
      </w:r>
      <w:r w:rsidRPr="00D6712F">
        <w:t>—</w:t>
      </w:r>
      <w:proofErr w:type="gramEnd"/>
      <w:r w:rsidRPr="00D6712F">
        <w:t xml:space="preserve">the model permanently eliminates shipping and fulfillment overhead for our partner houses, ensuring climate-controlled, secure transport for rare couture at zero cost to the creators. This requires an operational integration budget of approximately </w:t>
      </w:r>
      <w:r w:rsidRPr="00D6712F">
        <w:rPr>
          <w:b/>
          <w:bCs/>
        </w:rPr>
        <w:t>$2 Billion to $3 Billion</w:t>
      </w:r>
      <w:r w:rsidRPr="00D6712F">
        <w:t>.</w:t>
      </w:r>
    </w:p>
    <w:p w14:paraId="24DBDDAA" w14:textId="77777777" w:rsidR="00D6712F" w:rsidRPr="00D6712F" w:rsidRDefault="00D6712F" w:rsidP="00D6712F">
      <w:pPr>
        <w:numPr>
          <w:ilvl w:val="0"/>
          <w:numId w:val="1"/>
        </w:numPr>
      </w:pPr>
      <w:r w:rsidRPr="00D6712F">
        <w:rPr>
          <w:b/>
          <w:bCs/>
        </w:rPr>
        <w:t>Artisanal Infrastructure &amp; Mill Acquisition</w:t>
      </w:r>
      <w:r w:rsidRPr="00D6712F">
        <w:t xml:space="preserve">: To protect against the industry bottleneck of skilled craftsmanship, the plan designates </w:t>
      </w:r>
      <w:r w:rsidRPr="00D6712F">
        <w:rPr>
          <w:b/>
          <w:bCs/>
        </w:rPr>
        <w:t>$5 Billion to $8 Billion</w:t>
      </w:r>
      <w:r w:rsidRPr="00D6712F">
        <w:t xml:space="preserve"> to acquire and subsidize independent silk-weaving cooperatives in Como, Italy, and cashmere mills in </w:t>
      </w:r>
      <w:proofErr w:type="spellStart"/>
      <w:r w:rsidRPr="00D6712F">
        <w:t>Solomeo</w:t>
      </w:r>
      <w:proofErr w:type="spellEnd"/>
      <w:r w:rsidRPr="00D6712F">
        <w:t>, guaranteeing these artisans un-</w:t>
      </w:r>
      <w:proofErr w:type="spellStart"/>
      <w:r w:rsidRPr="00D6712F">
        <w:t>chokable</w:t>
      </w:r>
      <w:proofErr w:type="spellEnd"/>
      <w:r w:rsidRPr="00D6712F">
        <w:t xml:space="preserve"> access to raw materials while protecting local housing and training academies.</w:t>
      </w:r>
    </w:p>
    <w:p w14:paraId="21D399FA" w14:textId="77777777" w:rsidR="00D6712F" w:rsidRPr="00D6712F" w:rsidRDefault="00D6712F" w:rsidP="00D6712F">
      <w:pPr>
        <w:numPr>
          <w:ilvl w:val="0"/>
          <w:numId w:val="1"/>
        </w:numPr>
      </w:pPr>
      <w:r w:rsidRPr="00D6712F">
        <w:rPr>
          <w:b/>
          <w:bCs/>
        </w:rPr>
        <w:lastRenderedPageBreak/>
        <w:t>Biotech &amp; Salon Supply Integration</w:t>
      </w:r>
      <w:r w:rsidRPr="00D6712F">
        <w:t>: Extending our professional salon supply networks (</w:t>
      </w:r>
      <w:proofErr w:type="spellStart"/>
      <w:r w:rsidRPr="00D6712F">
        <w:rPr>
          <w:i/>
          <w:iCs/>
        </w:rPr>
        <w:t>SalonCentric</w:t>
      </w:r>
      <w:proofErr w:type="spellEnd"/>
      <w:r w:rsidRPr="00D6712F">
        <w:t xml:space="preserve">, </w:t>
      </w:r>
      <w:proofErr w:type="spellStart"/>
      <w:r w:rsidRPr="00D6712F">
        <w:rPr>
          <w:i/>
          <w:iCs/>
        </w:rPr>
        <w:t>CosmoProf</w:t>
      </w:r>
      <w:proofErr w:type="spellEnd"/>
      <w:r w:rsidRPr="00D6712F">
        <w:t xml:space="preserve">, </w:t>
      </w:r>
      <w:proofErr w:type="spellStart"/>
      <w:r w:rsidRPr="00D6712F">
        <w:rPr>
          <w:i/>
          <w:iCs/>
        </w:rPr>
        <w:t>Qosmedix</w:t>
      </w:r>
      <w:proofErr w:type="spellEnd"/>
      <w:r w:rsidRPr="00D6712F">
        <w:t xml:space="preserve">) and advanced biotech research facilities to independent designers allows them to utilize cutting-edge material science, sustainable chemical formulations, and ergonomic tools with an initial deployment cost of </w:t>
      </w:r>
      <w:r w:rsidRPr="00D6712F">
        <w:rPr>
          <w:b/>
          <w:bCs/>
        </w:rPr>
        <w:t>$3 Billion to $5 Billion</w:t>
      </w:r>
      <w:r w:rsidRPr="00D6712F">
        <w:t>.</w:t>
      </w:r>
    </w:p>
    <w:p w14:paraId="4DC6CFC8" w14:textId="77777777" w:rsidR="00D6712F" w:rsidRPr="00D6712F" w:rsidRDefault="00D6712F" w:rsidP="00D6712F">
      <w:pPr>
        <w:numPr>
          <w:ilvl w:val="0"/>
          <w:numId w:val="1"/>
        </w:numPr>
      </w:pPr>
      <w:r w:rsidRPr="00D6712F">
        <w:rPr>
          <w:b/>
          <w:bCs/>
        </w:rPr>
        <w:t>The Permanent Archive &amp; Wardrobe Curation Protocol</w:t>
      </w:r>
      <w:r w:rsidRPr="00D6712F">
        <w:t>: Establishing the reciprocal curation agreement—where every single bespoke sample, avant-garde collection, and runway piece is automatically logged and delivered in Jim's size directly into our four-story underground warehouse—operates as part of our existing inventory ecosystem at negligible marginal cost.</w:t>
      </w:r>
    </w:p>
    <w:p w14:paraId="5F1DFBD4" w14:textId="77777777" w:rsidR="00D6712F" w:rsidRPr="00D6712F" w:rsidRDefault="00D6712F" w:rsidP="00D6712F">
      <w:pPr>
        <w:rPr>
          <w:b/>
          <w:bCs/>
        </w:rPr>
      </w:pPr>
      <w:r w:rsidRPr="00D6712F">
        <w:rPr>
          <w:b/>
          <w:bCs/>
        </w:rPr>
        <w:t>Total Estimated Capital Deployment</w:t>
      </w:r>
    </w:p>
    <w:p w14:paraId="1C52DB7E" w14:textId="77777777" w:rsidR="00D6712F" w:rsidRPr="00D6712F" w:rsidRDefault="00D6712F" w:rsidP="00D6712F">
      <w:pPr>
        <w:numPr>
          <w:ilvl w:val="0"/>
          <w:numId w:val="2"/>
        </w:numPr>
      </w:pPr>
      <w:r w:rsidRPr="00D6712F">
        <w:rPr>
          <w:b/>
          <w:bCs/>
        </w:rPr>
        <w:t>Grand Total for the Patronage Initiative</w:t>
      </w:r>
      <w:r w:rsidRPr="00D6712F">
        <w:t xml:space="preserve">: </w:t>
      </w:r>
      <w:r w:rsidRPr="00D6712F">
        <w:rPr>
          <w:b/>
          <w:bCs/>
        </w:rPr>
        <w:t>$25 Billion to $41 Billion</w:t>
      </w:r>
      <w:r w:rsidRPr="00D6712F">
        <w:t>.</w:t>
      </w:r>
    </w:p>
    <w:p w14:paraId="4FCB80A3"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60111"/>
    <w:multiLevelType w:val="multilevel"/>
    <w:tmpl w:val="1DDE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F78B4"/>
    <w:multiLevelType w:val="multilevel"/>
    <w:tmpl w:val="C2C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220344">
    <w:abstractNumId w:val="1"/>
  </w:num>
  <w:num w:numId="2" w16cid:durableId="1326981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12F"/>
    <w:rsid w:val="00116558"/>
    <w:rsid w:val="00A36E99"/>
    <w:rsid w:val="00D6712F"/>
    <w:rsid w:val="00E06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A226"/>
  <w15:chartTrackingRefBased/>
  <w15:docId w15:val="{DC5A5ECE-22E4-4194-A665-A7D193689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1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1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1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1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1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1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1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1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1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1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1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1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1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1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1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1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1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12F"/>
    <w:rPr>
      <w:rFonts w:eastAsiaTheme="majorEastAsia" w:cstheme="majorBidi"/>
      <w:color w:val="272727" w:themeColor="text1" w:themeTint="D8"/>
    </w:rPr>
  </w:style>
  <w:style w:type="paragraph" w:styleId="Title">
    <w:name w:val="Title"/>
    <w:basedOn w:val="Normal"/>
    <w:next w:val="Normal"/>
    <w:link w:val="TitleChar"/>
    <w:uiPriority w:val="10"/>
    <w:qFormat/>
    <w:rsid w:val="00D671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1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1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1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12F"/>
    <w:pPr>
      <w:spacing w:before="160"/>
      <w:jc w:val="center"/>
    </w:pPr>
    <w:rPr>
      <w:i/>
      <w:iCs/>
      <w:color w:val="404040" w:themeColor="text1" w:themeTint="BF"/>
    </w:rPr>
  </w:style>
  <w:style w:type="character" w:customStyle="1" w:styleId="QuoteChar">
    <w:name w:val="Quote Char"/>
    <w:basedOn w:val="DefaultParagraphFont"/>
    <w:link w:val="Quote"/>
    <w:uiPriority w:val="29"/>
    <w:rsid w:val="00D6712F"/>
    <w:rPr>
      <w:i/>
      <w:iCs/>
      <w:color w:val="404040" w:themeColor="text1" w:themeTint="BF"/>
    </w:rPr>
  </w:style>
  <w:style w:type="paragraph" w:styleId="ListParagraph">
    <w:name w:val="List Paragraph"/>
    <w:basedOn w:val="Normal"/>
    <w:uiPriority w:val="34"/>
    <w:qFormat/>
    <w:rsid w:val="00D6712F"/>
    <w:pPr>
      <w:ind w:left="720"/>
      <w:contextualSpacing/>
    </w:pPr>
  </w:style>
  <w:style w:type="character" w:styleId="IntenseEmphasis">
    <w:name w:val="Intense Emphasis"/>
    <w:basedOn w:val="DefaultParagraphFont"/>
    <w:uiPriority w:val="21"/>
    <w:qFormat/>
    <w:rsid w:val="00D6712F"/>
    <w:rPr>
      <w:i/>
      <w:iCs/>
      <w:color w:val="0F4761" w:themeColor="accent1" w:themeShade="BF"/>
    </w:rPr>
  </w:style>
  <w:style w:type="paragraph" w:styleId="IntenseQuote">
    <w:name w:val="Intense Quote"/>
    <w:basedOn w:val="Normal"/>
    <w:next w:val="Normal"/>
    <w:link w:val="IntenseQuoteChar"/>
    <w:uiPriority w:val="30"/>
    <w:qFormat/>
    <w:rsid w:val="00D67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12F"/>
    <w:rPr>
      <w:i/>
      <w:iCs/>
      <w:color w:val="0F4761" w:themeColor="accent1" w:themeShade="BF"/>
    </w:rPr>
  </w:style>
  <w:style w:type="character" w:styleId="IntenseReference">
    <w:name w:val="Intense Reference"/>
    <w:basedOn w:val="DefaultParagraphFont"/>
    <w:uiPriority w:val="32"/>
    <w:qFormat/>
    <w:rsid w:val="00D67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2026-09-10T21:29:00Z</dcterms:created>
  <dcterms:modified xsi:type="dcterms:W3CDTF">2026-09-10T21:30:00Z</dcterms:modified>
</cp:coreProperties>
</file>