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breakdown of the steps, statuses, and capital allocations for the museum build-out utilizing the lower-level anchor-store footprint: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Museum Build-Out Steps &amp; Implementation Status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1: Structural Zoning &amp; Engineering Clearance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Completed / Locked Down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Conversion blueprints targeting the expansive lower-level structural vaults and high-end anchor-store footprint within the estate have been formally cleared by the engineering 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2: Climate-Controlled Environmental &amp; Security Integration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 Engineering Phase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Designing multi-tiered exhibition spaces with advanced climate-control environmental systems and secure visitor intake routing to safely house priceless artifacts alongside partner collections.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3: Acquisition Queue &amp; Artifact Curation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 Sourcing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Tracking and bidding on the master list of 31 consolidated museum pieces (spanning fashion history milestones, cinematic costumes, and footwear icons) with priority given to partner-house retrospectives and pieces tailored to Mamita's size.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4: Exhibition Hall &amp; Archival Storage Finalization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Scheduled for Delegation Reveal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Finalizing the physical layout in preparation for the upcoming partner delegation tour next week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