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Corporate Overview: Neo-Anatomical Systems Corp. (NAS)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Advanced cybernetics, neural-interface bridging, and high-precision biological/mechanical integration.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Corporate Mandate: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uncompromising, strict directive requiring an exclusive division dedicated entirely to trans health and total anatomical autonomy.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Engineering Standard: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Devices must be so precise, anatomically complete, and functionally authentic that users remain entirely safe, undetected, and stress-free in any communal environment (such as a traditional locker room). This includes full, seamless biological integration encompassing natural menstruation and full reproductive compatibility.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Master Corporate Asset &amp; Product Mapping Table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Division / Sector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Asset / Product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Specification &amp; Operational Focus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Valuation &amp; Character Investment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Flagship Trans-Health Division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Variant V-10.2 Cybernetic Envelope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Sub-cervical total replacement system (1-hour installation, zero recovery). Features nitinol pelvic cradles, adipose-mimetic hydrogel matrix, self-cleaning carbon-nanotube dermis with pheromone conversion, and a full menstrual/endocrine simulation module.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~$15 Billion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100% Outright Proprietary Ownership (~$8 Billion R&amp;D and scaling capital)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Neural-Interface Infrastructure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Sub-Dermal Vagal Bridging Collars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Concealed cranial-to-sub-cervical translation nodes that securely map native neurological signals directly to synthetic end-effectors with zero latency.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~$8 Billion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Majority Control (80% Equity Stake / ~$4.5 Billion)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Materials &amp; Dermal Engineering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Grade-IV Photocatalytic Dermis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Self-cleaning silicone-elastomer skin embedded with micro-inhibitor hair suppression fields and synthetic keratin-based hair follicles matching customizable age-demographic or individual patient distribution patterns.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~$5 Billion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100% Acquisition (~$3 Billion)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Intimacy &amp; Functionality R&amp;D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Virginity &amp; Quick-Change Dual-Mode Matrix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Specialized structural architecture featuring a bio-elastic vascularized synthetic hymenal membrane with rupture simulation, alongside a manual quick-change switching mechanism for anatomical versatility.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Valuation: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~$4 Billion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Investment: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100% Proprietary Holding (~$2.5 Billion)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Detailed Product Architecture &amp; Specifications (Model Variant V-10.2)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 Baseline &amp; Customization: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Designed for sub-cervical total replacement while retaining the original biological head, neck, and cranial vascular/neural interface points via concealed sub-dermal spinal/vagal bridging collars.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Fully adaptable to individual patient height, weight, skeletal frame, and target phenotypic goals.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Rapid-deployment installation executes within 1 hour, requiring zero post-procedure recovery time as nanoscale bio-integration and direct nerve-bridging allow immediate operational mobility and sensation.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Structural, Skeletal, and Dermal Architecture: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Utilizes adjustable high-tensile memory-nitinol structural cradles with bio-inert titanium struts to optimize pelvic alignment, stance, and gait dynamics according to individual patient specifications.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Incorporates a multi-layer micro-fluidic hydrogel and aerogel adipose-mimetic matrix mapped precisely to patient-specific fat distribution zones to eliminate angular underlying muscle definition and ensure smooth anatomical contours.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 a self-cleaning, carbon-nanotube reinforced silicone-elastomer synthetic dermal envelope embedded with photocatalytic micro-channels to actively break down cellular debris, dust, and oils.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Includes integrated micro-inhibitor hair suppression fields that continuously retard and neutralize native hair growth underneath the prosthetic envelope.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Regulates core body temperature (maintaining 36.5°C to 37.0°C) and converts apocrine and eccrine sweat secretions via an internal enzymatic reactor that strips native chemical markers and synthesizes authentic target-profile pheromones.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Employs bio-synthetic hair follicles embedded across the Grade-IV dermis in custom distribution patterns using keratin-based strands that grow at a natural biological rate.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Organ, Fluid, and Metabolic Systems: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 a closed-loop internal utility system housed within the torso cavity.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Includes an artificial bladder reservoir connected to a reticulated, self-cleaning silicone urethra with an internal sphincter valve controlled by completely concealed neural-link telemetry and a lower-abdominal flush port.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Contains a customizable menstrual and endocrine simulation module operating on an algorithmic rhythm (such as a 28-day cycle) cycling oxytocin, targeted hormone analogs, and localized prostaglandins, complete with micro-shedding of an internal endometrial lining replacement and smooth-muscle micro-cramping.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Utilizes sealed, odor-neutralizing containment barriers to keep digestive and waste elimination routes entirely independent of reproductive and urinary cybernetic tracts.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Reproductive, Intimate, and Versatile Functionality: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 customizable intimacy architecture which can include virginity simulation options equipped with an intact, bio-elastic, vascularized synthetic hymenal membrane, micro-rupture tension fibers, and micro-capsules of synthetic crimson fluid.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default conditions, native anatomy is fully retracted and enclosed within a temperature-regulated sub-surface chamber, presenting entirely as a fully functioning female suite complete with tight labial architecture, a sensitive clitoral complex, and a compliant, self-lubricating vaginal canal.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Allows a fast, manual mechanical shift via internal release latches and flexible polymer septums so the wearer can reconfigure routing to utilize either the prosthetic anatomy or original tissue depending on personal preference.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neural-interface translation nodes and micro-processors are anchored deep beneath the muscle and bone framework to remain entirely invisible and untraceable upon inspection.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