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0537" w14:textId="77777777" w:rsidR="006F4ECC" w:rsidRPr="006F4ECC" w:rsidRDefault="006F4ECC" w:rsidP="006F4E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4ECC">
        <w:rPr>
          <w:rFonts w:ascii="Times New Roman" w:eastAsia="Times New Roman" w:hAnsi="Times New Roman" w:cs="Times New Roman"/>
          <w:b/>
          <w:bCs/>
          <w:kern w:val="36"/>
          <w:sz w:val="48"/>
          <w:szCs w:val="48"/>
          <w14:ligatures w14:val="none"/>
        </w:rPr>
        <w:t>Mnemosyne — Complete Reference</w:t>
      </w:r>
    </w:p>
    <w:p w14:paraId="7873ED3D"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i/>
          <w:iCs/>
          <w:kern w:val="0"/>
          <w14:ligatures w14:val="none"/>
        </w:rPr>
        <w:t>Area 1 of the Anchor Complex. Named for the Titaness of memory and, in myth, mother of the nine muses — including Erato, continuing the household's Greek naming convention (Athena, Metis) with the same parent/child echo already running through the rest of it. A real gallery institution — permanent collection, traveling exhibitions, and the Erato Collective's own dedicated space as three distinct, sized components under one roof.</w:t>
      </w:r>
    </w:p>
    <w:p w14:paraId="12612A55"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pict w14:anchorId="37377FB5">
          <v:rect id="_x0000_i1025" style="width:0;height:1.5pt" o:hralign="center" o:hrstd="t" o:hr="t" fillcolor="#a0a0a0" stroked="f"/>
        </w:pict>
      </w:r>
    </w:p>
    <w:p w14:paraId="34A1CB62" w14:textId="77777777" w:rsidR="006F4ECC" w:rsidRPr="006F4ECC" w:rsidRDefault="006F4ECC" w:rsidP="006F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ECC">
        <w:rPr>
          <w:rFonts w:ascii="Times New Roman" w:eastAsia="Times New Roman" w:hAnsi="Times New Roman" w:cs="Times New Roman"/>
          <w:b/>
          <w:bCs/>
          <w:kern w:val="0"/>
          <w:sz w:val="36"/>
          <w:szCs w:val="36"/>
          <w14:ligatures w14:val="none"/>
        </w:rPr>
        <w:t>What This Is</w:t>
      </w:r>
    </w:p>
    <w:p w14:paraId="3E043389"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A genuine gallery institution — the kind with its own acquisition history, its own loan relationships with outside institutions, and its own program of visiting shows — that also happens to house a resident artist collective as one part of what it does, not the whole of it. The Museum (Area 2) collects and shows fashion; Mnemosyne collects and shows fine art broadly, with a specific, structural commitment to lesbian and feminist artists running through all three of its components rather than confined to just one wing.</w:t>
      </w:r>
    </w:p>
    <w:p w14:paraId="4239ECCE" w14:textId="77777777" w:rsidR="006F4ECC" w:rsidRPr="006F4ECC" w:rsidRDefault="006F4ECC" w:rsidP="006F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ECC">
        <w:rPr>
          <w:rFonts w:ascii="Times New Roman" w:eastAsia="Times New Roman" w:hAnsi="Times New Roman" w:cs="Times New Roman"/>
          <w:b/>
          <w:bCs/>
          <w:kern w:val="0"/>
          <w:sz w:val="36"/>
          <w:szCs w:val="36"/>
          <w14:ligatures w14:val="none"/>
        </w:rPr>
        <w:t>Total Footprint: ~50,000 sq 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8"/>
        <w:gridCol w:w="865"/>
      </w:tblGrid>
      <w:tr w:rsidR="006F4ECC" w:rsidRPr="006F4ECC" w14:paraId="204E3201" w14:textId="77777777">
        <w:trPr>
          <w:tblHeader/>
          <w:tblCellSpacing w:w="15" w:type="dxa"/>
        </w:trPr>
        <w:tc>
          <w:tcPr>
            <w:tcW w:w="0" w:type="auto"/>
            <w:vAlign w:val="center"/>
            <w:hideMark/>
          </w:tcPr>
          <w:p w14:paraId="433E731A" w14:textId="77777777" w:rsidR="006F4ECC" w:rsidRPr="006F4ECC" w:rsidRDefault="006F4ECC" w:rsidP="006F4ECC">
            <w:pPr>
              <w:spacing w:after="0" w:line="240" w:lineRule="auto"/>
              <w:jc w:val="center"/>
              <w:rPr>
                <w:rFonts w:ascii="Times New Roman" w:eastAsia="Times New Roman" w:hAnsi="Times New Roman" w:cs="Times New Roman"/>
                <w:b/>
                <w:bCs/>
                <w:kern w:val="0"/>
                <w14:ligatures w14:val="none"/>
              </w:rPr>
            </w:pPr>
            <w:r w:rsidRPr="006F4ECC">
              <w:rPr>
                <w:rFonts w:ascii="Times New Roman" w:eastAsia="Times New Roman" w:hAnsi="Times New Roman" w:cs="Times New Roman"/>
                <w:b/>
                <w:bCs/>
                <w:kern w:val="0"/>
                <w14:ligatures w14:val="none"/>
              </w:rPr>
              <w:t>Component</w:t>
            </w:r>
          </w:p>
        </w:tc>
        <w:tc>
          <w:tcPr>
            <w:tcW w:w="0" w:type="auto"/>
            <w:vAlign w:val="center"/>
            <w:hideMark/>
          </w:tcPr>
          <w:p w14:paraId="4DD2853C" w14:textId="77777777" w:rsidR="006F4ECC" w:rsidRPr="006F4ECC" w:rsidRDefault="006F4ECC" w:rsidP="006F4ECC">
            <w:pPr>
              <w:spacing w:after="0" w:line="240" w:lineRule="auto"/>
              <w:jc w:val="center"/>
              <w:rPr>
                <w:rFonts w:ascii="Times New Roman" w:eastAsia="Times New Roman" w:hAnsi="Times New Roman" w:cs="Times New Roman"/>
                <w:b/>
                <w:bCs/>
                <w:kern w:val="0"/>
                <w14:ligatures w14:val="none"/>
              </w:rPr>
            </w:pPr>
            <w:r w:rsidRPr="006F4ECC">
              <w:rPr>
                <w:rFonts w:ascii="Times New Roman" w:eastAsia="Times New Roman" w:hAnsi="Times New Roman" w:cs="Times New Roman"/>
                <w:b/>
                <w:bCs/>
                <w:kern w:val="0"/>
                <w14:ligatures w14:val="none"/>
              </w:rPr>
              <w:t>Sq Ft</w:t>
            </w:r>
          </w:p>
        </w:tc>
      </w:tr>
      <w:tr w:rsidR="006F4ECC" w:rsidRPr="006F4ECC" w14:paraId="460F8848" w14:textId="77777777">
        <w:trPr>
          <w:tblCellSpacing w:w="15" w:type="dxa"/>
        </w:trPr>
        <w:tc>
          <w:tcPr>
            <w:tcW w:w="0" w:type="auto"/>
            <w:vAlign w:val="center"/>
            <w:hideMark/>
          </w:tcPr>
          <w:p w14:paraId="72E116B8"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Permanent Collection Galleries</w:t>
            </w:r>
          </w:p>
        </w:tc>
        <w:tc>
          <w:tcPr>
            <w:tcW w:w="0" w:type="auto"/>
            <w:vAlign w:val="center"/>
            <w:hideMark/>
          </w:tcPr>
          <w:p w14:paraId="40318030"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~15,000</w:t>
            </w:r>
          </w:p>
        </w:tc>
      </w:tr>
      <w:tr w:rsidR="006F4ECC" w:rsidRPr="006F4ECC" w14:paraId="74E2E3E0" w14:textId="77777777">
        <w:trPr>
          <w:tblCellSpacing w:w="15" w:type="dxa"/>
        </w:trPr>
        <w:tc>
          <w:tcPr>
            <w:tcW w:w="0" w:type="auto"/>
            <w:vAlign w:val="center"/>
            <w:hideMark/>
          </w:tcPr>
          <w:p w14:paraId="5CEBF9A3"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Traveling Exhibition Halls</w:t>
            </w:r>
          </w:p>
        </w:tc>
        <w:tc>
          <w:tcPr>
            <w:tcW w:w="0" w:type="auto"/>
            <w:vAlign w:val="center"/>
            <w:hideMark/>
          </w:tcPr>
          <w:p w14:paraId="63D4C6FE"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~15,000</w:t>
            </w:r>
          </w:p>
        </w:tc>
      </w:tr>
      <w:tr w:rsidR="006F4ECC" w:rsidRPr="006F4ECC" w14:paraId="59292BDF" w14:textId="77777777">
        <w:trPr>
          <w:tblCellSpacing w:w="15" w:type="dxa"/>
        </w:trPr>
        <w:tc>
          <w:tcPr>
            <w:tcW w:w="0" w:type="auto"/>
            <w:vAlign w:val="center"/>
            <w:hideMark/>
          </w:tcPr>
          <w:p w14:paraId="3F4CEDE7"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The Erato Collective's Wing</w:t>
            </w:r>
          </w:p>
        </w:tc>
        <w:tc>
          <w:tcPr>
            <w:tcW w:w="0" w:type="auto"/>
            <w:vAlign w:val="center"/>
            <w:hideMark/>
          </w:tcPr>
          <w:p w14:paraId="054F958E"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~20,000</w:t>
            </w:r>
          </w:p>
        </w:tc>
      </w:tr>
    </w:tbl>
    <w:p w14:paraId="1B84E833" w14:textId="77777777" w:rsidR="006F4ECC" w:rsidRPr="006F4ECC" w:rsidRDefault="006F4ECC" w:rsidP="006F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ECC">
        <w:rPr>
          <w:rFonts w:ascii="Times New Roman" w:eastAsia="Times New Roman" w:hAnsi="Times New Roman" w:cs="Times New Roman"/>
          <w:b/>
          <w:bCs/>
          <w:kern w:val="0"/>
          <w:sz w:val="36"/>
          <w:szCs w:val="36"/>
          <w14:ligatures w14:val="none"/>
        </w:rPr>
        <w:t>Component One: The Permanent Collection (~15,000 sq ft)</w:t>
      </w:r>
    </w:p>
    <w:p w14:paraId="54CCAC5E"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The household's own standing art holdings — broader than just Erato Collective output. This is where a piece a story wants to treat as genuinely significant, acquired, established work lives: not necessarily by a current or former fellow, but by artists the household has collected on Mnemosyne's own acquisitions budget and judgment, the same way any real private collection builds over decades. Extends the same curatorial instinct already established for the Anchor Suite's own private art (feminist artists, chosen with real intention) out to full institutional scale — pieces here may include work by established, even historically significant artists, not exclusively living or emerging ones.</w:t>
      </w:r>
    </w:p>
    <w:p w14:paraId="4AFD62B2"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 xml:space="preserve">Acquisitions </w:t>
      </w:r>
      <w:proofErr w:type="gramStart"/>
      <w:r w:rsidRPr="006F4ECC">
        <w:rPr>
          <w:rFonts w:ascii="Times New Roman" w:eastAsia="Times New Roman" w:hAnsi="Times New Roman" w:cs="Times New Roman"/>
          <w:b/>
          <w:bCs/>
          <w:kern w:val="0"/>
          <w14:ligatures w14:val="none"/>
        </w:rPr>
        <w:t>process:</w:t>
      </w:r>
      <w:proofErr w:type="gramEnd"/>
      <w:r w:rsidRPr="006F4ECC">
        <w:rPr>
          <w:rFonts w:ascii="Times New Roman" w:eastAsia="Times New Roman" w:hAnsi="Times New Roman" w:cs="Times New Roman"/>
          <w:kern w:val="0"/>
          <w14:ligatures w14:val="none"/>
        </w:rPr>
        <w:t xml:space="preserve"> runs through Mnemosyne's own curatorial team (see Staffing below) making genuine acquisition decisions — purchases, gifts, bequests — distinct from the more artist-direct pathways (commission, exhibition sale) that govern how Collective work specifically enters the collection.</w:t>
      </w:r>
    </w:p>
    <w:p w14:paraId="75C02A9E" w14:textId="77777777" w:rsidR="006F4ECC" w:rsidRPr="006F4ECC" w:rsidRDefault="006F4ECC" w:rsidP="006F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ECC">
        <w:rPr>
          <w:rFonts w:ascii="Times New Roman" w:eastAsia="Times New Roman" w:hAnsi="Times New Roman" w:cs="Times New Roman"/>
          <w:b/>
          <w:bCs/>
          <w:kern w:val="0"/>
          <w:sz w:val="36"/>
          <w:szCs w:val="36"/>
          <w14:ligatures w14:val="none"/>
        </w:rPr>
        <w:lastRenderedPageBreak/>
        <w:t>Component Two: Traveling Exhibitions (~15,000 sq ft)</w:t>
      </w:r>
    </w:p>
    <w:p w14:paraId="682FD513"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Loan-in programming from outside institutions, galleries, and private collections — the mechanism that gives Mnemosyne a real museum's rhythm of changing, non-self-generated content, rather than only ever showing what the household already owns or what the Collective happens to be producing.</w:t>
      </w:r>
    </w:p>
    <w:p w14:paraId="0E0E267A"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What this requires, structurally:</w:t>
      </w:r>
    </w:p>
    <w:p w14:paraId="4FE6D15D" w14:textId="77777777" w:rsidR="006F4ECC" w:rsidRPr="006F4ECC" w:rsidRDefault="006F4ECC" w:rsidP="006F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Loan agreements and insurance</w:t>
      </w:r>
      <w:r w:rsidRPr="006F4ECC">
        <w:rPr>
          <w:rFonts w:ascii="Times New Roman" w:eastAsia="Times New Roman" w:hAnsi="Times New Roman" w:cs="Times New Roman"/>
          <w:kern w:val="0"/>
          <w14:ligatures w14:val="none"/>
        </w:rPr>
        <w:t xml:space="preserve"> — real logistics, the same category of work the Museum's own Registrar handles for fashion pieces, but here for artwork moving in and out of the building entirely.</w:t>
      </w:r>
    </w:p>
    <w:p w14:paraId="64FABBB8" w14:textId="77777777" w:rsidR="006F4ECC" w:rsidRPr="006F4ECC" w:rsidRDefault="006F4ECC" w:rsidP="006F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Climate-controlled transit and handling</w:t>
      </w:r>
      <w:r w:rsidRPr="006F4ECC">
        <w:rPr>
          <w:rFonts w:ascii="Times New Roman" w:eastAsia="Times New Roman" w:hAnsi="Times New Roman" w:cs="Times New Roman"/>
          <w:kern w:val="0"/>
          <w14:ligatures w14:val="none"/>
        </w:rPr>
        <w:t xml:space="preserve"> — receiving, unpacking, condition-reporting, repacking, and returning loaned work.</w:t>
      </w:r>
    </w:p>
    <w:p w14:paraId="02006102" w14:textId="77777777" w:rsidR="006F4ECC" w:rsidRPr="006F4ECC" w:rsidRDefault="006F4ECC" w:rsidP="006F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A programming calendar</w:t>
      </w:r>
      <w:r w:rsidRPr="006F4ECC">
        <w:rPr>
          <w:rFonts w:ascii="Times New Roman" w:eastAsia="Times New Roman" w:hAnsi="Times New Roman" w:cs="Times New Roman"/>
          <w:kern w:val="0"/>
          <w14:ligatures w14:val="none"/>
        </w:rPr>
        <w:t xml:space="preserve"> — traveling shows booked and sequenced, likely a year or more in advance.</w:t>
      </w:r>
    </w:p>
    <w:p w14:paraId="63963110" w14:textId="77777777" w:rsidR="006F4ECC" w:rsidRPr="006F4ECC" w:rsidRDefault="006F4ECC" w:rsidP="006F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ECC">
        <w:rPr>
          <w:rFonts w:ascii="Times New Roman" w:eastAsia="Times New Roman" w:hAnsi="Times New Roman" w:cs="Times New Roman"/>
          <w:b/>
          <w:bCs/>
          <w:kern w:val="0"/>
          <w:sz w:val="36"/>
          <w:szCs w:val="36"/>
          <w14:ligatures w14:val="none"/>
        </w:rPr>
        <w:t>Component Three: The Erato Collective's Wing (~20,000 sq ft)</w:t>
      </w:r>
    </w:p>
    <w:p w14:paraId="13E51A85"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i/>
          <w:iCs/>
          <w:kern w:val="0"/>
          <w14:ligatures w14:val="none"/>
        </w:rPr>
        <w:t>Everything established previously about the Collective, scoped correctly here as one component of Mnemosyne, sized as its own wing.</w:t>
      </w:r>
    </w:p>
    <w:p w14:paraId="5737136B"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Structure — two tiers:</w:t>
      </w:r>
    </w:p>
    <w:p w14:paraId="76F0C510" w14:textId="77777777" w:rsidR="006F4ECC" w:rsidRPr="006F4ECC" w:rsidRDefault="006F4ECC" w:rsidP="006F4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The Fellowship</w:t>
      </w:r>
      <w:r w:rsidRPr="006F4ECC">
        <w:rPr>
          <w:rFonts w:ascii="Times New Roman" w:eastAsia="Times New Roman" w:hAnsi="Times New Roman" w:cs="Times New Roman"/>
          <w:kern w:val="0"/>
          <w14:ligatures w14:val="none"/>
        </w:rPr>
        <w:t xml:space="preserve"> (half a dozen at a time): a funded residency program, rotating cohort, real turnover, selected through application and interview.</w:t>
      </w:r>
    </w:p>
    <w:p w14:paraId="0DC4E4D0" w14:textId="77777777" w:rsidR="006F4ECC" w:rsidRPr="006F4ECC" w:rsidRDefault="006F4ECC" w:rsidP="006F4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The Collective</w:t>
      </w:r>
      <w:r w:rsidRPr="006F4ECC">
        <w:rPr>
          <w:rFonts w:ascii="Times New Roman" w:eastAsia="Times New Roman" w:hAnsi="Times New Roman" w:cs="Times New Roman"/>
          <w:kern w:val="0"/>
          <w14:ligatures w14:val="none"/>
        </w:rPr>
        <w:t xml:space="preserve"> (broader): studio workspace available to a wider community of artists beyond the funded Fellowship cohort.</w:t>
      </w:r>
    </w:p>
    <w:p w14:paraId="558AA58D"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Housing:</w:t>
      </w:r>
      <w:r w:rsidRPr="006F4ECC">
        <w:rPr>
          <w:rFonts w:ascii="Times New Roman" w:eastAsia="Times New Roman" w:hAnsi="Times New Roman" w:cs="Times New Roman"/>
          <w:kern w:val="0"/>
          <w14:ligatures w14:val="none"/>
        </w:rPr>
        <w:t xml:space="preserve"> off-site — not in-house residence. Fellows commute in.</w:t>
      </w:r>
    </w:p>
    <w:p w14:paraId="42FDEF95"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Hiring philosophy applies:</w:t>
      </w:r>
      <w:r w:rsidRPr="006F4ECC">
        <w:rPr>
          <w:rFonts w:ascii="Times New Roman" w:eastAsia="Times New Roman" w:hAnsi="Times New Roman" w:cs="Times New Roman"/>
          <w:kern w:val="0"/>
          <w14:ligatures w14:val="none"/>
        </w:rPr>
        <w:t xml:space="preserve"> the same estate/empire-wide rule (women who are lesbian or transgender, cisgender or trans) governs artist selection here, structurally central to the Collective's founding purpose.</w:t>
      </w:r>
    </w:p>
    <w:p w14:paraId="22DD0D68"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Medium:</w:t>
      </w:r>
      <w:r w:rsidRPr="006F4ECC">
        <w:rPr>
          <w:rFonts w:ascii="Times New Roman" w:eastAsia="Times New Roman" w:hAnsi="Times New Roman" w:cs="Times New Roman"/>
          <w:kern w:val="0"/>
          <w14:ligatures w14:val="none"/>
        </w:rPr>
        <w:t xml:space="preserve"> fully open — painting, sculpture, textile art, photography, installation, anything a fellow or collective member works in.</w:t>
      </w:r>
    </w:p>
    <w:p w14:paraId="1558264D"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Where finished Collective work goes — three (or four) paths:</w:t>
      </w:r>
    </w:p>
    <w:p w14:paraId="71C21171" w14:textId="77777777" w:rsidR="006F4ECC" w:rsidRPr="006F4ECC" w:rsidRDefault="006F4ECC" w:rsidP="006F4E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Migrates into Mnemosyne's own Permanent Collection (Component One).</w:t>
      </w:r>
    </w:p>
    <w:p w14:paraId="3D24021B" w14:textId="77777777" w:rsidR="006F4ECC" w:rsidRPr="006F4ECC" w:rsidRDefault="006F4ECC" w:rsidP="006F4E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Direct commission.</w:t>
      </w:r>
    </w:p>
    <w:p w14:paraId="29718892" w14:textId="77777777" w:rsidR="006F4ECC" w:rsidRPr="006F4ECC" w:rsidRDefault="006F4ECC" w:rsidP="006F4E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Sold during public exhibitions.</w:t>
      </w:r>
    </w:p>
    <w:p w14:paraId="03911CD0" w14:textId="77777777" w:rsidR="006F4ECC" w:rsidRPr="006F4ECC" w:rsidRDefault="006F4ECC" w:rsidP="006F4E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Remains the artist's own.</w:t>
      </w:r>
    </w:p>
    <w:p w14:paraId="710B0DE2"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lastRenderedPageBreak/>
        <w:t>Funding:</w:t>
      </w:r>
      <w:r w:rsidRPr="006F4ECC">
        <w:rPr>
          <w:rFonts w:ascii="Times New Roman" w:eastAsia="Times New Roman" w:hAnsi="Times New Roman" w:cs="Times New Roman"/>
          <w:kern w:val="0"/>
          <w14:ligatures w14:val="none"/>
        </w:rPr>
        <w:t xml:space="preserve"> deliberately unresolved on-page — surfaces later as part of the wider "J." identity reveal, echoing Cassandra Labs' own anonymous-patronage beat.</w:t>
      </w:r>
    </w:p>
    <w:p w14:paraId="50208B64"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b/>
          <w:bCs/>
          <w:kern w:val="0"/>
          <w14:ligatures w14:val="none"/>
        </w:rPr>
        <w:t>The wing itself</w:t>
      </w:r>
      <w:r w:rsidRPr="006F4ECC">
        <w:rPr>
          <w:rFonts w:ascii="Times New Roman" w:eastAsia="Times New Roman" w:hAnsi="Times New Roman" w:cs="Times New Roman"/>
          <w:kern w:val="0"/>
          <w14:ligatures w14:val="none"/>
        </w:rPr>
        <w:t xml:space="preserve"> includes both working studio space (Fellowship + Collective access) and the Collective's own exhibition space within that ~20,000 sq ft — fellows and collective members get real show time tied to the residency's own rhythm, distinct from and smaller in ceremony than either the Permanent Collection's standing display or a traveling exhibition's own opening.</w:t>
      </w:r>
    </w:p>
    <w:p w14:paraId="0B905193" w14:textId="77777777" w:rsidR="006F4ECC" w:rsidRPr="006F4ECC" w:rsidRDefault="006F4ECC" w:rsidP="006F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ECC">
        <w:rPr>
          <w:rFonts w:ascii="Times New Roman" w:eastAsia="Times New Roman" w:hAnsi="Times New Roman" w:cs="Times New Roman"/>
          <w:b/>
          <w:bCs/>
          <w:kern w:val="0"/>
          <w:sz w:val="36"/>
          <w:szCs w:val="36"/>
          <w14:ligatures w14:val="none"/>
        </w:rPr>
        <w:t>Staffing (Proposed)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6131"/>
      </w:tblGrid>
      <w:tr w:rsidR="006F4ECC" w:rsidRPr="006F4ECC" w14:paraId="6AAA73B4" w14:textId="77777777">
        <w:trPr>
          <w:tblHeader/>
          <w:tblCellSpacing w:w="15" w:type="dxa"/>
        </w:trPr>
        <w:tc>
          <w:tcPr>
            <w:tcW w:w="0" w:type="auto"/>
            <w:vAlign w:val="center"/>
            <w:hideMark/>
          </w:tcPr>
          <w:p w14:paraId="3A962A80" w14:textId="77777777" w:rsidR="006F4ECC" w:rsidRPr="006F4ECC" w:rsidRDefault="006F4ECC" w:rsidP="006F4ECC">
            <w:pPr>
              <w:spacing w:after="0" w:line="240" w:lineRule="auto"/>
              <w:jc w:val="center"/>
              <w:rPr>
                <w:rFonts w:ascii="Times New Roman" w:eastAsia="Times New Roman" w:hAnsi="Times New Roman" w:cs="Times New Roman"/>
                <w:b/>
                <w:bCs/>
                <w:kern w:val="0"/>
                <w14:ligatures w14:val="none"/>
              </w:rPr>
            </w:pPr>
            <w:r w:rsidRPr="006F4ECC">
              <w:rPr>
                <w:rFonts w:ascii="Times New Roman" w:eastAsia="Times New Roman" w:hAnsi="Times New Roman" w:cs="Times New Roman"/>
                <w:b/>
                <w:bCs/>
                <w:kern w:val="0"/>
                <w14:ligatures w14:val="none"/>
              </w:rPr>
              <w:t>Role</w:t>
            </w:r>
          </w:p>
        </w:tc>
        <w:tc>
          <w:tcPr>
            <w:tcW w:w="0" w:type="auto"/>
            <w:vAlign w:val="center"/>
            <w:hideMark/>
          </w:tcPr>
          <w:p w14:paraId="2DE94FE3" w14:textId="77777777" w:rsidR="006F4ECC" w:rsidRPr="006F4ECC" w:rsidRDefault="006F4ECC" w:rsidP="006F4ECC">
            <w:pPr>
              <w:spacing w:after="0" w:line="240" w:lineRule="auto"/>
              <w:jc w:val="center"/>
              <w:rPr>
                <w:rFonts w:ascii="Times New Roman" w:eastAsia="Times New Roman" w:hAnsi="Times New Roman" w:cs="Times New Roman"/>
                <w:b/>
                <w:bCs/>
                <w:kern w:val="0"/>
                <w14:ligatures w14:val="none"/>
              </w:rPr>
            </w:pPr>
            <w:r w:rsidRPr="006F4ECC">
              <w:rPr>
                <w:rFonts w:ascii="Times New Roman" w:eastAsia="Times New Roman" w:hAnsi="Times New Roman" w:cs="Times New Roman"/>
                <w:b/>
                <w:bCs/>
                <w:kern w:val="0"/>
                <w14:ligatures w14:val="none"/>
              </w:rPr>
              <w:t>Scope</w:t>
            </w:r>
          </w:p>
        </w:tc>
      </w:tr>
      <w:tr w:rsidR="006F4ECC" w:rsidRPr="006F4ECC" w14:paraId="01914209" w14:textId="77777777">
        <w:trPr>
          <w:tblCellSpacing w:w="15" w:type="dxa"/>
        </w:trPr>
        <w:tc>
          <w:tcPr>
            <w:tcW w:w="0" w:type="auto"/>
            <w:vAlign w:val="center"/>
            <w:hideMark/>
          </w:tcPr>
          <w:p w14:paraId="2825C218"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Gallery Director</w:t>
            </w:r>
          </w:p>
        </w:tc>
        <w:tc>
          <w:tcPr>
            <w:tcW w:w="0" w:type="auto"/>
            <w:vAlign w:val="center"/>
            <w:hideMark/>
          </w:tcPr>
          <w:p w14:paraId="4B93D64E"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proofErr w:type="gramStart"/>
            <w:r w:rsidRPr="006F4ECC">
              <w:rPr>
                <w:rFonts w:ascii="Times New Roman" w:eastAsia="Times New Roman" w:hAnsi="Times New Roman" w:cs="Times New Roman"/>
                <w:kern w:val="0"/>
                <w14:ligatures w14:val="none"/>
              </w:rPr>
              <w:t>Oversees</w:t>
            </w:r>
            <w:proofErr w:type="gramEnd"/>
            <w:r w:rsidRPr="006F4ECC">
              <w:rPr>
                <w:rFonts w:ascii="Times New Roman" w:eastAsia="Times New Roman" w:hAnsi="Times New Roman" w:cs="Times New Roman"/>
                <w:kern w:val="0"/>
                <w14:ligatures w14:val="none"/>
              </w:rPr>
              <w:t xml:space="preserve"> all three components</w:t>
            </w:r>
          </w:p>
        </w:tc>
      </w:tr>
      <w:tr w:rsidR="006F4ECC" w:rsidRPr="006F4ECC" w14:paraId="690C2750" w14:textId="77777777">
        <w:trPr>
          <w:tblCellSpacing w:w="15" w:type="dxa"/>
        </w:trPr>
        <w:tc>
          <w:tcPr>
            <w:tcW w:w="0" w:type="auto"/>
            <w:vAlign w:val="center"/>
            <w:hideMark/>
          </w:tcPr>
          <w:p w14:paraId="3C9F02A0"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Permanent Collection Curator</w:t>
            </w:r>
          </w:p>
        </w:tc>
        <w:tc>
          <w:tcPr>
            <w:tcW w:w="0" w:type="auto"/>
            <w:vAlign w:val="center"/>
            <w:hideMark/>
          </w:tcPr>
          <w:p w14:paraId="3B34862C"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Component One — acquisitions, standing display</w:t>
            </w:r>
          </w:p>
        </w:tc>
      </w:tr>
      <w:tr w:rsidR="006F4ECC" w:rsidRPr="006F4ECC" w14:paraId="44FF06FF" w14:textId="77777777">
        <w:trPr>
          <w:tblCellSpacing w:w="15" w:type="dxa"/>
        </w:trPr>
        <w:tc>
          <w:tcPr>
            <w:tcW w:w="0" w:type="auto"/>
            <w:vAlign w:val="center"/>
            <w:hideMark/>
          </w:tcPr>
          <w:p w14:paraId="124D2665"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Traveling Exhibitions Curator / Registrar</w:t>
            </w:r>
          </w:p>
        </w:tc>
        <w:tc>
          <w:tcPr>
            <w:tcW w:w="0" w:type="auto"/>
            <w:vAlign w:val="center"/>
            <w:hideMark/>
          </w:tcPr>
          <w:p w14:paraId="34C6AD9C"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Component Two — loan agreements, insurance, logistics, programming calendar</w:t>
            </w:r>
          </w:p>
        </w:tc>
      </w:tr>
      <w:tr w:rsidR="006F4ECC" w:rsidRPr="006F4ECC" w14:paraId="0897A34D" w14:textId="77777777">
        <w:trPr>
          <w:tblCellSpacing w:w="15" w:type="dxa"/>
        </w:trPr>
        <w:tc>
          <w:tcPr>
            <w:tcW w:w="0" w:type="auto"/>
            <w:vAlign w:val="center"/>
            <w:hideMark/>
          </w:tcPr>
          <w:p w14:paraId="06BC4FDD"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Conservator(s)</w:t>
            </w:r>
          </w:p>
        </w:tc>
        <w:tc>
          <w:tcPr>
            <w:tcW w:w="0" w:type="auto"/>
            <w:vAlign w:val="center"/>
            <w:hideMark/>
          </w:tcPr>
          <w:p w14:paraId="015081FE"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Shared across all three components</w:t>
            </w:r>
          </w:p>
        </w:tc>
      </w:tr>
      <w:tr w:rsidR="006F4ECC" w:rsidRPr="006F4ECC" w14:paraId="66D5426E" w14:textId="77777777">
        <w:trPr>
          <w:tblCellSpacing w:w="15" w:type="dxa"/>
        </w:trPr>
        <w:tc>
          <w:tcPr>
            <w:tcW w:w="0" w:type="auto"/>
            <w:vAlign w:val="center"/>
            <w:hideMark/>
          </w:tcPr>
          <w:p w14:paraId="3C607307"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Collective Program Director</w:t>
            </w:r>
          </w:p>
        </w:tc>
        <w:tc>
          <w:tcPr>
            <w:tcW w:w="0" w:type="auto"/>
            <w:vAlign w:val="center"/>
            <w:hideMark/>
          </w:tcPr>
          <w:p w14:paraId="5B299F68"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Component Three — Fellowship application/interview process, artist relationships</w:t>
            </w:r>
          </w:p>
        </w:tc>
      </w:tr>
      <w:tr w:rsidR="006F4ECC" w:rsidRPr="006F4ECC" w14:paraId="4CD68B7D" w14:textId="77777777">
        <w:trPr>
          <w:tblCellSpacing w:w="15" w:type="dxa"/>
        </w:trPr>
        <w:tc>
          <w:tcPr>
            <w:tcW w:w="0" w:type="auto"/>
            <w:vAlign w:val="center"/>
            <w:hideMark/>
          </w:tcPr>
          <w:p w14:paraId="1E625426"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Studio Manager</w:t>
            </w:r>
          </w:p>
        </w:tc>
        <w:tc>
          <w:tcPr>
            <w:tcW w:w="0" w:type="auto"/>
            <w:vAlign w:val="center"/>
            <w:hideMark/>
          </w:tcPr>
          <w:p w14:paraId="3D42F5A5"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Component Three — working-space operations</w:t>
            </w:r>
          </w:p>
        </w:tc>
      </w:tr>
      <w:tr w:rsidR="006F4ECC" w:rsidRPr="006F4ECC" w14:paraId="627B8A5D" w14:textId="77777777">
        <w:trPr>
          <w:tblCellSpacing w:w="15" w:type="dxa"/>
        </w:trPr>
        <w:tc>
          <w:tcPr>
            <w:tcW w:w="0" w:type="auto"/>
            <w:vAlign w:val="center"/>
            <w:hideMark/>
          </w:tcPr>
          <w:p w14:paraId="5DB21E5D"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Docents / Visitor Services</w:t>
            </w:r>
          </w:p>
        </w:tc>
        <w:tc>
          <w:tcPr>
            <w:tcW w:w="0" w:type="auto"/>
            <w:vAlign w:val="center"/>
            <w:hideMark/>
          </w:tcPr>
          <w:p w14:paraId="1543BB77"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Shared front-of-house</w:t>
            </w:r>
          </w:p>
        </w:tc>
      </w:tr>
      <w:tr w:rsidR="006F4ECC" w:rsidRPr="006F4ECC" w14:paraId="1384FCA1" w14:textId="77777777">
        <w:trPr>
          <w:tblCellSpacing w:w="15" w:type="dxa"/>
        </w:trPr>
        <w:tc>
          <w:tcPr>
            <w:tcW w:w="0" w:type="auto"/>
            <w:vAlign w:val="center"/>
            <w:hideMark/>
          </w:tcPr>
          <w:p w14:paraId="3877EC39"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Gallery Security</w:t>
            </w:r>
          </w:p>
        </w:tc>
        <w:tc>
          <w:tcPr>
            <w:tcW w:w="0" w:type="auto"/>
            <w:vAlign w:val="center"/>
            <w:hideMark/>
          </w:tcPr>
          <w:p w14:paraId="6BAE29C3" w14:textId="77777777" w:rsidR="006F4ECC" w:rsidRPr="006F4ECC" w:rsidRDefault="006F4ECC" w:rsidP="006F4ECC">
            <w:pPr>
              <w:spacing w:after="0"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Shared, specialized fine-art security training</w:t>
            </w:r>
          </w:p>
        </w:tc>
      </w:tr>
    </w:tbl>
    <w:p w14:paraId="6FDC576B" w14:textId="77777777" w:rsidR="006F4ECC" w:rsidRPr="006F4ECC" w:rsidRDefault="006F4ECC" w:rsidP="006F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ECC">
        <w:rPr>
          <w:rFonts w:ascii="Times New Roman" w:eastAsia="Times New Roman" w:hAnsi="Times New Roman" w:cs="Times New Roman"/>
          <w:b/>
          <w:bCs/>
          <w:kern w:val="0"/>
          <w:sz w:val="36"/>
          <w:szCs w:val="36"/>
          <w14:ligatures w14:val="none"/>
        </w:rPr>
        <w:t>Where This Fits</w:t>
      </w:r>
    </w:p>
    <w:p w14:paraId="7312A725" w14:textId="77777777" w:rsidR="006F4ECC" w:rsidRPr="006F4ECC" w:rsidRDefault="006F4ECC" w:rsidP="006F4ECC">
      <w:pPr>
        <w:spacing w:before="100" w:beforeAutospacing="1" w:after="100" w:afterAutospacing="1" w:line="240" w:lineRule="auto"/>
        <w:rPr>
          <w:rFonts w:ascii="Times New Roman" w:eastAsia="Times New Roman" w:hAnsi="Times New Roman" w:cs="Times New Roman"/>
          <w:kern w:val="0"/>
          <w14:ligatures w14:val="none"/>
        </w:rPr>
      </w:pPr>
      <w:r w:rsidRPr="006F4ECC">
        <w:rPr>
          <w:rFonts w:ascii="Times New Roman" w:eastAsia="Times New Roman" w:hAnsi="Times New Roman" w:cs="Times New Roman"/>
          <w:kern w:val="0"/>
          <w14:ligatures w14:val="none"/>
        </w:rPr>
        <w:t xml:space="preserve">Area 1 of the Anchor Complex, alongside the Whitfield Museum of Fashion (Area 2) and the Combined Showroom (Area </w:t>
      </w:r>
      <w:proofErr w:type="gramStart"/>
      <w:r w:rsidRPr="006F4ECC">
        <w:rPr>
          <w:rFonts w:ascii="Times New Roman" w:eastAsia="Times New Roman" w:hAnsi="Times New Roman" w:cs="Times New Roman"/>
          <w:kern w:val="0"/>
          <w14:ligatures w14:val="none"/>
        </w:rPr>
        <w:t>3) —</w:t>
      </w:r>
      <w:proofErr w:type="gramEnd"/>
      <w:r w:rsidRPr="006F4ECC">
        <w:rPr>
          <w:rFonts w:ascii="Times New Roman" w:eastAsia="Times New Roman" w:hAnsi="Times New Roman" w:cs="Times New Roman"/>
          <w:kern w:val="0"/>
          <w14:ligatures w14:val="none"/>
        </w:rPr>
        <w:t xml:space="preserve"> one shared entrance and reception.</w:t>
      </w:r>
    </w:p>
    <w:p w14:paraId="0FDDD704" w14:textId="77777777" w:rsidR="00116558" w:rsidRDefault="00116558"/>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24B5"/>
    <w:multiLevelType w:val="multilevel"/>
    <w:tmpl w:val="C270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02FBE"/>
    <w:multiLevelType w:val="multilevel"/>
    <w:tmpl w:val="97BC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B158AB"/>
    <w:multiLevelType w:val="multilevel"/>
    <w:tmpl w:val="B32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640073">
    <w:abstractNumId w:val="2"/>
  </w:num>
  <w:num w:numId="2" w16cid:durableId="1680426333">
    <w:abstractNumId w:val="0"/>
  </w:num>
  <w:num w:numId="3" w16cid:durableId="929702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ECC"/>
    <w:rsid w:val="00116558"/>
    <w:rsid w:val="006F4ECC"/>
    <w:rsid w:val="00A36E99"/>
    <w:rsid w:val="00EF5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50A6"/>
  <w15:chartTrackingRefBased/>
  <w15:docId w15:val="{1E8C01CA-99E3-42E7-A6E4-FB5AF6B02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ECC"/>
    <w:rPr>
      <w:rFonts w:eastAsiaTheme="majorEastAsia" w:cstheme="majorBidi"/>
      <w:color w:val="272727" w:themeColor="text1" w:themeTint="D8"/>
    </w:rPr>
  </w:style>
  <w:style w:type="paragraph" w:styleId="Title">
    <w:name w:val="Title"/>
    <w:basedOn w:val="Normal"/>
    <w:next w:val="Normal"/>
    <w:link w:val="TitleChar"/>
    <w:uiPriority w:val="10"/>
    <w:qFormat/>
    <w:rsid w:val="006F4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ECC"/>
    <w:pPr>
      <w:spacing w:before="160"/>
      <w:jc w:val="center"/>
    </w:pPr>
    <w:rPr>
      <w:i/>
      <w:iCs/>
      <w:color w:val="404040" w:themeColor="text1" w:themeTint="BF"/>
    </w:rPr>
  </w:style>
  <w:style w:type="character" w:customStyle="1" w:styleId="QuoteChar">
    <w:name w:val="Quote Char"/>
    <w:basedOn w:val="DefaultParagraphFont"/>
    <w:link w:val="Quote"/>
    <w:uiPriority w:val="29"/>
    <w:rsid w:val="006F4ECC"/>
    <w:rPr>
      <w:i/>
      <w:iCs/>
      <w:color w:val="404040" w:themeColor="text1" w:themeTint="BF"/>
    </w:rPr>
  </w:style>
  <w:style w:type="paragraph" w:styleId="ListParagraph">
    <w:name w:val="List Paragraph"/>
    <w:basedOn w:val="Normal"/>
    <w:uiPriority w:val="34"/>
    <w:qFormat/>
    <w:rsid w:val="006F4ECC"/>
    <w:pPr>
      <w:ind w:left="720"/>
      <w:contextualSpacing/>
    </w:pPr>
  </w:style>
  <w:style w:type="character" w:styleId="IntenseEmphasis">
    <w:name w:val="Intense Emphasis"/>
    <w:basedOn w:val="DefaultParagraphFont"/>
    <w:uiPriority w:val="21"/>
    <w:qFormat/>
    <w:rsid w:val="006F4ECC"/>
    <w:rPr>
      <w:i/>
      <w:iCs/>
      <w:color w:val="0F4761" w:themeColor="accent1" w:themeShade="BF"/>
    </w:rPr>
  </w:style>
  <w:style w:type="paragraph" w:styleId="IntenseQuote">
    <w:name w:val="Intense Quote"/>
    <w:basedOn w:val="Normal"/>
    <w:next w:val="Normal"/>
    <w:link w:val="IntenseQuoteChar"/>
    <w:uiPriority w:val="30"/>
    <w:qFormat/>
    <w:rsid w:val="006F4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ECC"/>
    <w:rPr>
      <w:i/>
      <w:iCs/>
      <w:color w:val="0F4761" w:themeColor="accent1" w:themeShade="BF"/>
    </w:rPr>
  </w:style>
  <w:style w:type="character" w:styleId="IntenseReference">
    <w:name w:val="Intense Reference"/>
    <w:basedOn w:val="DefaultParagraphFont"/>
    <w:uiPriority w:val="32"/>
    <w:qFormat/>
    <w:rsid w:val="006F4E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740</Words>
  <Characters>4677</Characters>
  <Application>Microsoft Office Word</Application>
  <DocSecurity>0</DocSecurity>
  <Lines>93</Lines>
  <Paragraphs>26</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2026-09-08T19:56:00Z</dcterms:created>
  <dcterms:modified xsi:type="dcterms:W3CDTF">2026-09-08T19:57:00Z</dcterms:modified>
</cp:coreProperties>
</file>