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77DD" w14:textId="77777777" w:rsidR="00564896" w:rsidRPr="00564896" w:rsidRDefault="00564896" w:rsidP="005648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4896">
        <w:rPr>
          <w:rFonts w:ascii="Times New Roman" w:eastAsia="Times New Roman" w:hAnsi="Times New Roman" w:cs="Times New Roman"/>
          <w:b/>
          <w:bCs/>
          <w:kern w:val="36"/>
          <w:sz w:val="48"/>
          <w:szCs w:val="48"/>
          <w14:ligatures w14:val="none"/>
        </w:rPr>
        <w:t>The Erato Collective — Complete Reference</w:t>
      </w:r>
    </w:p>
    <w:p w14:paraId="5B013FC9" w14:textId="77777777" w:rsidR="00564896" w:rsidRPr="00564896" w:rsidRDefault="00564896" w:rsidP="00564896">
      <w:p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i/>
          <w:iCs/>
          <w:kern w:val="0"/>
          <w14:ligatures w14:val="none"/>
        </w:rPr>
        <w:t>Area 1 of the Anchor Complex, replacing the old thin "Art Gallery" placeholder entirely. Fully new — nothing here existed anywhere before this conversation. Named for Erato, the Greek muse of lyric and love poetry, continuing the household's existing mythological naming convention (Athena, Metis).</w:t>
      </w:r>
    </w:p>
    <w:p w14:paraId="59F8EE71" w14:textId="77777777" w:rsidR="00564896" w:rsidRPr="00564896" w:rsidRDefault="00564896" w:rsidP="00564896">
      <w:pPr>
        <w:spacing w:after="0"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kern w:val="0"/>
          <w14:ligatures w14:val="none"/>
        </w:rPr>
        <w:pict w14:anchorId="56710D42">
          <v:rect id="_x0000_i1044" style="width:0;height:1.5pt" o:hralign="center" o:hrstd="t" o:hr="t" fillcolor="#a0a0a0" stroked="f"/>
        </w:pict>
      </w:r>
    </w:p>
    <w:p w14:paraId="3DE03885" w14:textId="77777777" w:rsidR="00564896" w:rsidRPr="00564896" w:rsidRDefault="00564896" w:rsidP="00564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4896">
        <w:rPr>
          <w:rFonts w:ascii="Times New Roman" w:eastAsia="Times New Roman" w:hAnsi="Times New Roman" w:cs="Times New Roman"/>
          <w:b/>
          <w:bCs/>
          <w:kern w:val="0"/>
          <w:sz w:val="36"/>
          <w:szCs w:val="36"/>
          <w14:ligatures w14:val="none"/>
        </w:rPr>
        <w:t>What This Is</w:t>
      </w:r>
    </w:p>
    <w:p w14:paraId="5DE52D7E" w14:textId="77777777" w:rsidR="00564896" w:rsidRPr="00564896" w:rsidRDefault="00564896" w:rsidP="00564896">
      <w:p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kern w:val="0"/>
          <w14:ligatures w14:val="none"/>
        </w:rPr>
        <w:t>Not a gallery that occasionally hangs art — a working studio-and-gallery complex built around an actual artist collective, championing lesbian and feminist artists through the collective's own presence and output, not just curated-in acquisitions. The distinction matters: this is the artists themselves, in residence and working, with the gallery function built around their studio practice rather than the other way around.</w:t>
      </w:r>
    </w:p>
    <w:p w14:paraId="3C0F192F" w14:textId="77777777" w:rsidR="00564896" w:rsidRPr="00564896" w:rsidRDefault="00564896" w:rsidP="00564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4896">
        <w:rPr>
          <w:rFonts w:ascii="Times New Roman" w:eastAsia="Times New Roman" w:hAnsi="Times New Roman" w:cs="Times New Roman"/>
          <w:b/>
          <w:bCs/>
          <w:kern w:val="0"/>
          <w:sz w:val="36"/>
          <w:szCs w:val="36"/>
          <w14:ligatures w14:val="none"/>
        </w:rPr>
        <w:t>Structure — Two Tiers</w:t>
      </w:r>
    </w:p>
    <w:p w14:paraId="2A45F4D2" w14:textId="77777777" w:rsidR="00564896" w:rsidRPr="00564896" w:rsidRDefault="00564896" w:rsidP="00564896">
      <w:p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b/>
          <w:bCs/>
          <w:kern w:val="0"/>
          <w14:ligatures w14:val="none"/>
        </w:rPr>
        <w:t>The Fellowship (half a dozen at a time):</w:t>
      </w:r>
      <w:r w:rsidRPr="00564896">
        <w:rPr>
          <w:rFonts w:ascii="Times New Roman" w:eastAsia="Times New Roman" w:hAnsi="Times New Roman" w:cs="Times New Roman"/>
          <w:kern w:val="0"/>
          <w14:ligatures w14:val="none"/>
        </w:rPr>
        <w:t xml:space="preserve"> A funded residency program — a small, rotating cohort of six artists in active fellowship at any given time, with real turnover rather than a fixed permanent roster. Selected through an application and interview process, the same as any competitive residency program would run.</w:t>
      </w:r>
    </w:p>
    <w:p w14:paraId="58CDE079" w14:textId="77777777" w:rsidR="00564896" w:rsidRPr="00564896" w:rsidRDefault="00564896" w:rsidP="00564896">
      <w:p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b/>
          <w:bCs/>
          <w:kern w:val="0"/>
          <w14:ligatures w14:val="none"/>
        </w:rPr>
        <w:t>The Collective (broader):</w:t>
      </w:r>
      <w:r w:rsidRPr="00564896">
        <w:rPr>
          <w:rFonts w:ascii="Times New Roman" w:eastAsia="Times New Roman" w:hAnsi="Times New Roman" w:cs="Times New Roman"/>
          <w:kern w:val="0"/>
          <w14:ligatures w14:val="none"/>
        </w:rPr>
        <w:t xml:space="preserve"> Studio workspace is available to the wider collective, not just the six current fellows — a larger, less formally </w:t>
      </w:r>
      <w:proofErr w:type="gramStart"/>
      <w:r w:rsidRPr="00564896">
        <w:rPr>
          <w:rFonts w:ascii="Times New Roman" w:eastAsia="Times New Roman" w:hAnsi="Times New Roman" w:cs="Times New Roman"/>
          <w:kern w:val="0"/>
          <w14:ligatures w14:val="none"/>
        </w:rPr>
        <w:t>bounded</w:t>
      </w:r>
      <w:proofErr w:type="gramEnd"/>
      <w:r w:rsidRPr="00564896">
        <w:rPr>
          <w:rFonts w:ascii="Times New Roman" w:eastAsia="Times New Roman" w:hAnsi="Times New Roman" w:cs="Times New Roman"/>
          <w:kern w:val="0"/>
          <w14:ligatures w14:val="none"/>
        </w:rPr>
        <w:t xml:space="preserve"> community of artists connected to the program beyond the funded cohort. The Fellowship is the selective, resourced inner tier; the Collective is the broader base it draws from and stays connected to.</w:t>
      </w:r>
    </w:p>
    <w:p w14:paraId="6D296708" w14:textId="77777777" w:rsidR="00564896" w:rsidRPr="00564896" w:rsidRDefault="00564896" w:rsidP="00564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4896">
        <w:rPr>
          <w:rFonts w:ascii="Times New Roman" w:eastAsia="Times New Roman" w:hAnsi="Times New Roman" w:cs="Times New Roman"/>
          <w:b/>
          <w:bCs/>
          <w:kern w:val="0"/>
          <w:sz w:val="36"/>
          <w:szCs w:val="36"/>
          <w14:ligatures w14:val="none"/>
        </w:rPr>
        <w:t>Housing</w:t>
      </w:r>
    </w:p>
    <w:p w14:paraId="68629F61" w14:textId="77777777" w:rsidR="00564896" w:rsidRPr="00564896" w:rsidRDefault="00564896" w:rsidP="00564896">
      <w:p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b/>
          <w:bCs/>
          <w:kern w:val="0"/>
          <w14:ligatures w14:val="none"/>
        </w:rPr>
        <w:t>Off-site — not in-house residence.</w:t>
      </w:r>
      <w:r w:rsidRPr="00564896">
        <w:rPr>
          <w:rFonts w:ascii="Times New Roman" w:eastAsia="Times New Roman" w:hAnsi="Times New Roman" w:cs="Times New Roman"/>
          <w:kern w:val="0"/>
          <w14:ligatures w14:val="none"/>
        </w:rPr>
        <w:t xml:space="preserve"> Unlike the household's own staff (who live in the Staff Residence tower on the grounds), fellows </w:t>
      </w:r>
      <w:proofErr w:type="gramStart"/>
      <w:r w:rsidRPr="00564896">
        <w:rPr>
          <w:rFonts w:ascii="Times New Roman" w:eastAsia="Times New Roman" w:hAnsi="Times New Roman" w:cs="Times New Roman"/>
          <w:kern w:val="0"/>
          <w14:ligatures w14:val="none"/>
        </w:rPr>
        <w:t>commute in</w:t>
      </w:r>
      <w:proofErr w:type="gramEnd"/>
      <w:r w:rsidRPr="00564896">
        <w:rPr>
          <w:rFonts w:ascii="Times New Roman" w:eastAsia="Times New Roman" w:hAnsi="Times New Roman" w:cs="Times New Roman"/>
          <w:kern w:val="0"/>
          <w14:ligatures w14:val="none"/>
        </w:rPr>
        <w:t xml:space="preserve"> to use the studio and gallery rather than living on the estate itself. Consistent with their status as artists in a funded program rather than employees.</w:t>
      </w:r>
    </w:p>
    <w:p w14:paraId="2A8947A6" w14:textId="77777777" w:rsidR="00564896" w:rsidRPr="00564896" w:rsidRDefault="00564896" w:rsidP="00564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4896">
        <w:rPr>
          <w:rFonts w:ascii="Times New Roman" w:eastAsia="Times New Roman" w:hAnsi="Times New Roman" w:cs="Times New Roman"/>
          <w:b/>
          <w:bCs/>
          <w:kern w:val="0"/>
          <w:sz w:val="36"/>
          <w:szCs w:val="36"/>
          <w14:ligatures w14:val="none"/>
        </w:rPr>
        <w:t>Selection Process</w:t>
      </w:r>
    </w:p>
    <w:p w14:paraId="6F8E64FF" w14:textId="77777777" w:rsidR="00564896" w:rsidRPr="00564896" w:rsidRDefault="00564896" w:rsidP="00564896">
      <w:p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kern w:val="0"/>
          <w14:ligatures w14:val="none"/>
        </w:rPr>
        <w:t>Application and interview, for both entry into the Fellowship specifically and, presumably, some lighter-touch process for general Collective membership/workspace access (not yet specified — worth deciding later if a story needs that level of detail).</w:t>
      </w:r>
    </w:p>
    <w:p w14:paraId="44C58598" w14:textId="77777777" w:rsidR="00564896" w:rsidRPr="00564896" w:rsidRDefault="00564896" w:rsidP="00564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4896">
        <w:rPr>
          <w:rFonts w:ascii="Times New Roman" w:eastAsia="Times New Roman" w:hAnsi="Times New Roman" w:cs="Times New Roman"/>
          <w:b/>
          <w:bCs/>
          <w:kern w:val="0"/>
          <w:sz w:val="36"/>
          <w:szCs w:val="36"/>
          <w14:ligatures w14:val="none"/>
        </w:rPr>
        <w:t>Hiring Philosophy — Applies</w:t>
      </w:r>
    </w:p>
    <w:p w14:paraId="68A2F4E7" w14:textId="77777777" w:rsidR="00564896" w:rsidRPr="00564896" w:rsidRDefault="00564896" w:rsidP="00564896">
      <w:p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kern w:val="0"/>
          <w14:ligatures w14:val="none"/>
        </w:rPr>
        <w:lastRenderedPageBreak/>
        <w:t>The same rule governing every role on the estate and across the empire (women who are lesbian or transgender, cisgender or trans) applies here too, to artist selection specifically. Given the Collective's entire founding purpose is championing lesbian and feminist artists, this isn't an awkward extension of an unrelated corporate policy the way it might read elsewhere — it's the whole point, made structural.</w:t>
      </w:r>
    </w:p>
    <w:p w14:paraId="4E9A3635" w14:textId="77777777" w:rsidR="00564896" w:rsidRPr="00564896" w:rsidRDefault="00564896" w:rsidP="00564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4896">
        <w:rPr>
          <w:rFonts w:ascii="Times New Roman" w:eastAsia="Times New Roman" w:hAnsi="Times New Roman" w:cs="Times New Roman"/>
          <w:b/>
          <w:bCs/>
          <w:kern w:val="0"/>
          <w:sz w:val="36"/>
          <w:szCs w:val="36"/>
          <w14:ligatures w14:val="none"/>
        </w:rPr>
        <w:t>Medium — Fully Open</w:t>
      </w:r>
    </w:p>
    <w:p w14:paraId="0D1E6580" w14:textId="77777777" w:rsidR="00564896" w:rsidRPr="00564896" w:rsidRDefault="00564896" w:rsidP="00564896">
      <w:p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kern w:val="0"/>
          <w14:ligatures w14:val="none"/>
        </w:rPr>
        <w:t xml:space="preserve">No restriction to visual art or sculpture specifically. Painting, sculpture, textile art, photography, installation, and any other medium a fellow or collective member works in. Given the fashion empire's own scale, textile-based and wearable art </w:t>
      </w:r>
      <w:proofErr w:type="gramStart"/>
      <w:r w:rsidRPr="00564896">
        <w:rPr>
          <w:rFonts w:ascii="Times New Roman" w:eastAsia="Times New Roman" w:hAnsi="Times New Roman" w:cs="Times New Roman"/>
          <w:kern w:val="0"/>
          <w14:ligatures w14:val="none"/>
        </w:rPr>
        <w:t>in particular has</w:t>
      </w:r>
      <w:proofErr w:type="gramEnd"/>
      <w:r w:rsidRPr="00564896">
        <w:rPr>
          <w:rFonts w:ascii="Times New Roman" w:eastAsia="Times New Roman" w:hAnsi="Times New Roman" w:cs="Times New Roman"/>
          <w:kern w:val="0"/>
          <w14:ligatures w14:val="none"/>
        </w:rPr>
        <w:t xml:space="preserve"> an obvious, natural connection </w:t>
      </w:r>
      <w:proofErr w:type="gramStart"/>
      <w:r w:rsidRPr="00564896">
        <w:rPr>
          <w:rFonts w:ascii="Times New Roman" w:eastAsia="Times New Roman" w:hAnsi="Times New Roman" w:cs="Times New Roman"/>
          <w:kern w:val="0"/>
          <w14:ligatures w14:val="none"/>
        </w:rPr>
        <w:t>point</w:t>
      </w:r>
      <w:proofErr w:type="gramEnd"/>
      <w:r w:rsidRPr="00564896">
        <w:rPr>
          <w:rFonts w:ascii="Times New Roman" w:eastAsia="Times New Roman" w:hAnsi="Times New Roman" w:cs="Times New Roman"/>
          <w:kern w:val="0"/>
          <w14:ligatures w14:val="none"/>
        </w:rPr>
        <w:t xml:space="preserve"> back into the household's broader world without that connection needing to be forced.</w:t>
      </w:r>
    </w:p>
    <w:p w14:paraId="62289599" w14:textId="77777777" w:rsidR="00564896" w:rsidRPr="00564896" w:rsidRDefault="00564896" w:rsidP="00564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4896">
        <w:rPr>
          <w:rFonts w:ascii="Times New Roman" w:eastAsia="Times New Roman" w:hAnsi="Times New Roman" w:cs="Times New Roman"/>
          <w:b/>
          <w:bCs/>
          <w:kern w:val="0"/>
          <w:sz w:val="36"/>
          <w:szCs w:val="36"/>
          <w14:ligatures w14:val="none"/>
        </w:rPr>
        <w:t>Where Finished Work Goes — Three Paths</w:t>
      </w:r>
    </w:p>
    <w:p w14:paraId="49FFEDF7" w14:textId="77777777" w:rsidR="00564896" w:rsidRPr="00564896" w:rsidRDefault="00564896" w:rsidP="005648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b/>
          <w:bCs/>
          <w:kern w:val="0"/>
          <w14:ligatures w14:val="none"/>
        </w:rPr>
        <w:t>Migrates into the estate's own collection</w:t>
      </w:r>
      <w:r w:rsidRPr="00564896">
        <w:rPr>
          <w:rFonts w:ascii="Times New Roman" w:eastAsia="Times New Roman" w:hAnsi="Times New Roman" w:cs="Times New Roman"/>
          <w:kern w:val="0"/>
          <w14:ligatures w14:val="none"/>
        </w:rPr>
        <w:t xml:space="preserve"> — some pieces join the household's existing curated art (the Anchor Suite's own established feminist-artist curation is the obvious precedent this extends).</w:t>
      </w:r>
    </w:p>
    <w:p w14:paraId="7A58FF55" w14:textId="77777777" w:rsidR="00564896" w:rsidRPr="00564896" w:rsidRDefault="00564896" w:rsidP="005648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b/>
          <w:bCs/>
          <w:kern w:val="0"/>
          <w14:ligatures w14:val="none"/>
        </w:rPr>
        <w:t xml:space="preserve">Direct </w:t>
      </w:r>
      <w:proofErr w:type="gramStart"/>
      <w:r w:rsidRPr="00564896">
        <w:rPr>
          <w:rFonts w:ascii="Times New Roman" w:eastAsia="Times New Roman" w:hAnsi="Times New Roman" w:cs="Times New Roman"/>
          <w:b/>
          <w:bCs/>
          <w:kern w:val="0"/>
          <w14:ligatures w14:val="none"/>
        </w:rPr>
        <w:t>commission</w:t>
      </w:r>
      <w:r w:rsidRPr="00564896">
        <w:rPr>
          <w:rFonts w:ascii="Times New Roman" w:eastAsia="Times New Roman" w:hAnsi="Times New Roman" w:cs="Times New Roman"/>
          <w:kern w:val="0"/>
          <w14:ligatures w14:val="none"/>
        </w:rPr>
        <w:t xml:space="preserve"> — some work is</w:t>
      </w:r>
      <w:proofErr w:type="gramEnd"/>
      <w:r w:rsidRPr="00564896">
        <w:rPr>
          <w:rFonts w:ascii="Times New Roman" w:eastAsia="Times New Roman" w:hAnsi="Times New Roman" w:cs="Times New Roman"/>
          <w:kern w:val="0"/>
          <w14:ligatures w14:val="none"/>
        </w:rPr>
        <w:t xml:space="preserve"> commissioned outright rather than created independently and selected afterward.</w:t>
      </w:r>
    </w:p>
    <w:p w14:paraId="43486194" w14:textId="77777777" w:rsidR="00564896" w:rsidRPr="00564896" w:rsidRDefault="00564896" w:rsidP="005648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b/>
          <w:bCs/>
          <w:kern w:val="0"/>
          <w14:ligatures w14:val="none"/>
        </w:rPr>
        <w:t>Sold during public exhibitions</w:t>
      </w:r>
      <w:r w:rsidRPr="00564896">
        <w:rPr>
          <w:rFonts w:ascii="Times New Roman" w:eastAsia="Times New Roman" w:hAnsi="Times New Roman" w:cs="Times New Roman"/>
          <w:kern w:val="0"/>
          <w14:ligatures w14:val="none"/>
        </w:rPr>
        <w:t xml:space="preserve"> — the gallery half of the complex hosts actual exhibition events, the same scheduled-visit model as the rest of the Anchor Complex, where collective work is available for outside purchase.</w:t>
      </w:r>
    </w:p>
    <w:p w14:paraId="4AD454CA" w14:textId="77777777" w:rsidR="00564896" w:rsidRPr="00564896" w:rsidRDefault="00564896" w:rsidP="005648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i/>
          <w:iCs/>
          <w:kern w:val="0"/>
          <w14:ligatures w14:val="none"/>
        </w:rPr>
        <w:t>(A fourth, implicit path: some work simply remains the artist's own — not every piece is acquired, commissioned, or sold through the estate at all.)</w:t>
      </w:r>
    </w:p>
    <w:p w14:paraId="4EC5A40C" w14:textId="77777777" w:rsidR="00564896" w:rsidRPr="00564896" w:rsidRDefault="00564896" w:rsidP="00564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4896">
        <w:rPr>
          <w:rFonts w:ascii="Times New Roman" w:eastAsia="Times New Roman" w:hAnsi="Times New Roman" w:cs="Times New Roman"/>
          <w:b/>
          <w:bCs/>
          <w:kern w:val="0"/>
          <w:sz w:val="36"/>
          <w:szCs w:val="36"/>
          <w14:ligatures w14:val="none"/>
        </w:rPr>
        <w:t>Funding — Deliberately Unresolved On-Page (For Now)</w:t>
      </w:r>
    </w:p>
    <w:p w14:paraId="0F3331F6" w14:textId="77777777" w:rsidR="00564896" w:rsidRPr="00564896" w:rsidRDefault="00564896" w:rsidP="00564896">
      <w:p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kern w:val="0"/>
          <w14:ligatures w14:val="none"/>
        </w:rPr>
        <w:t xml:space="preserve">The funding structure has been left genuinely "mucky" in the story so far — not yet cleanly established on-page. </w:t>
      </w:r>
      <w:r w:rsidRPr="00564896">
        <w:rPr>
          <w:rFonts w:ascii="Times New Roman" w:eastAsia="Times New Roman" w:hAnsi="Times New Roman" w:cs="Times New Roman"/>
          <w:b/>
          <w:bCs/>
          <w:kern w:val="0"/>
          <w14:ligatures w14:val="none"/>
        </w:rPr>
        <w:t>Confirmed future beat:</w:t>
      </w:r>
      <w:r w:rsidRPr="00564896">
        <w:rPr>
          <w:rFonts w:ascii="Times New Roman" w:eastAsia="Times New Roman" w:hAnsi="Times New Roman" w:cs="Times New Roman"/>
          <w:kern w:val="0"/>
          <w14:ligatures w14:val="none"/>
        </w:rPr>
        <w:t xml:space="preserve"> this surfaces as part of the eventual wider "J." identity reveal, when Jim's private patronage becomes public — echoing the same structural beat as Cassandra Labs' anonymous funding coming to light. Until that happens, don't resolve or over-specify the funding mechanism prematurely; it's meant to stay unclear the way Cassandra Labs' funding stayed unclear right up until Athena's own reveal.</w:t>
      </w:r>
    </w:p>
    <w:p w14:paraId="3A10566D" w14:textId="77777777" w:rsidR="00564896" w:rsidRPr="00564896" w:rsidRDefault="00564896" w:rsidP="00564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4896">
        <w:rPr>
          <w:rFonts w:ascii="Times New Roman" w:eastAsia="Times New Roman" w:hAnsi="Times New Roman" w:cs="Times New Roman"/>
          <w:b/>
          <w:bCs/>
          <w:kern w:val="0"/>
          <w:sz w:val="36"/>
          <w:szCs w:val="36"/>
          <w14:ligatures w14:val="none"/>
        </w:rPr>
        <w:t>Physical Space</w:t>
      </w:r>
    </w:p>
    <w:p w14:paraId="1FD065F2" w14:textId="77777777" w:rsidR="00564896" w:rsidRPr="00564896" w:rsidRDefault="00564896" w:rsidP="00564896">
      <w:p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b/>
          <w:bCs/>
          <w:kern w:val="0"/>
          <w14:ligatures w14:val="none"/>
        </w:rPr>
        <w:t xml:space="preserve">Studio + gallery + permanent collection, </w:t>
      </w:r>
      <w:proofErr w:type="gramStart"/>
      <w:r w:rsidRPr="00564896">
        <w:rPr>
          <w:rFonts w:ascii="Times New Roman" w:eastAsia="Times New Roman" w:hAnsi="Times New Roman" w:cs="Times New Roman"/>
          <w:b/>
          <w:bCs/>
          <w:kern w:val="0"/>
          <w14:ligatures w14:val="none"/>
        </w:rPr>
        <w:t>combined</w:t>
      </w:r>
      <w:r w:rsidRPr="00564896">
        <w:rPr>
          <w:rFonts w:ascii="Times New Roman" w:eastAsia="Times New Roman" w:hAnsi="Times New Roman" w:cs="Times New Roman"/>
          <w:kern w:val="0"/>
          <w14:ligatures w14:val="none"/>
        </w:rPr>
        <w:t xml:space="preserve"> —</w:t>
      </w:r>
      <w:proofErr w:type="gramEnd"/>
      <w:r w:rsidRPr="00564896">
        <w:rPr>
          <w:rFonts w:ascii="Times New Roman" w:eastAsia="Times New Roman" w:hAnsi="Times New Roman" w:cs="Times New Roman"/>
          <w:kern w:val="0"/>
          <w14:ligatures w14:val="none"/>
        </w:rPr>
        <w:t xml:space="preserve"> working artist space and exhibition space together, not separated into a working wing and a display wing. Square footage deliberately not assigned here — you're sizing this in your own document, and it's already been noted this needs to run bigger than the original placeholder's ~8,000–10,000 sq ft to actually support six working fellows plus a broader collective's studio access, on top of gallery/exhibition and permanent-collection space.</w:t>
      </w:r>
    </w:p>
    <w:p w14:paraId="18E3C04B" w14:textId="77777777" w:rsidR="00564896" w:rsidRPr="00564896" w:rsidRDefault="00564896" w:rsidP="00564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4896">
        <w:rPr>
          <w:rFonts w:ascii="Times New Roman" w:eastAsia="Times New Roman" w:hAnsi="Times New Roman" w:cs="Times New Roman"/>
          <w:b/>
          <w:bCs/>
          <w:kern w:val="0"/>
          <w:sz w:val="36"/>
          <w:szCs w:val="36"/>
          <w14:ligatures w14:val="none"/>
        </w:rPr>
        <w:lastRenderedPageBreak/>
        <w:t>Where This Fits</w:t>
      </w:r>
    </w:p>
    <w:p w14:paraId="7454CCBE" w14:textId="77777777" w:rsidR="00564896" w:rsidRPr="00564896" w:rsidRDefault="00564896" w:rsidP="005648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b/>
          <w:bCs/>
          <w:kern w:val="0"/>
          <w14:ligatures w14:val="none"/>
        </w:rPr>
        <w:t>Area 1 of the Anchor Complex</w:t>
      </w:r>
      <w:r w:rsidRPr="00564896">
        <w:rPr>
          <w:rFonts w:ascii="Times New Roman" w:eastAsia="Times New Roman" w:hAnsi="Times New Roman" w:cs="Times New Roman"/>
          <w:kern w:val="0"/>
          <w14:ligatures w14:val="none"/>
        </w:rPr>
        <w:t>, alongside the Whitfield Museum of Fashion (Area 2) and the Combined Showroom (Area 3) — one shared entrance and reception, per the complex's existing structure.</w:t>
      </w:r>
    </w:p>
    <w:p w14:paraId="743F8A82" w14:textId="77777777" w:rsidR="00564896" w:rsidRPr="00564896" w:rsidRDefault="00564896" w:rsidP="005648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b/>
          <w:bCs/>
          <w:kern w:val="0"/>
          <w14:ligatures w14:val="none"/>
        </w:rPr>
        <w:t>Access model:</w:t>
      </w:r>
      <w:r w:rsidRPr="00564896">
        <w:rPr>
          <w:rFonts w:ascii="Times New Roman" w:eastAsia="Times New Roman" w:hAnsi="Times New Roman" w:cs="Times New Roman"/>
          <w:kern w:val="0"/>
          <w14:ligatures w14:val="none"/>
        </w:rPr>
        <w:t xml:space="preserve"> presumably the same scheduled-visit, biometric standard as the rest of the complex for gallery/exhibition visits — though fellows and collective members themselves would need standing working access to the studio, distinct from the general visitor model. Worth confirming this distinction when you write it up.</w:t>
      </w:r>
    </w:p>
    <w:p w14:paraId="44B1963C" w14:textId="77777777" w:rsidR="00564896" w:rsidRPr="00564896" w:rsidRDefault="00564896" w:rsidP="005648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b/>
          <w:bCs/>
          <w:kern w:val="0"/>
          <w14:ligatures w14:val="none"/>
        </w:rPr>
        <w:t>Naming:</w:t>
      </w:r>
      <w:r w:rsidRPr="00564896">
        <w:rPr>
          <w:rFonts w:ascii="Times New Roman" w:eastAsia="Times New Roman" w:hAnsi="Times New Roman" w:cs="Times New Roman"/>
          <w:kern w:val="0"/>
          <w14:ligatures w14:val="none"/>
        </w:rPr>
        <w:t xml:space="preserve"> proposed as Erato, pending your confirmation or a swap to Thalia, Calliope, or another muse entirely.</w:t>
      </w:r>
    </w:p>
    <w:p w14:paraId="6BDD631F" w14:textId="77777777" w:rsidR="00564896" w:rsidRPr="00564896" w:rsidRDefault="00564896" w:rsidP="00564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4896">
        <w:rPr>
          <w:rFonts w:ascii="Times New Roman" w:eastAsia="Times New Roman" w:hAnsi="Times New Roman" w:cs="Times New Roman"/>
          <w:b/>
          <w:bCs/>
          <w:kern w:val="0"/>
          <w:sz w:val="36"/>
          <w:szCs w:val="36"/>
          <w14:ligatures w14:val="none"/>
        </w:rPr>
        <w:t xml:space="preserve">Open Items (Not </w:t>
      </w:r>
      <w:proofErr w:type="gramStart"/>
      <w:r w:rsidRPr="00564896">
        <w:rPr>
          <w:rFonts w:ascii="Times New Roman" w:eastAsia="Times New Roman" w:hAnsi="Times New Roman" w:cs="Times New Roman"/>
          <w:b/>
          <w:bCs/>
          <w:kern w:val="0"/>
          <w:sz w:val="36"/>
          <w:szCs w:val="36"/>
          <w14:ligatures w14:val="none"/>
        </w:rPr>
        <w:t>Yet Decided</w:t>
      </w:r>
      <w:proofErr w:type="gramEnd"/>
      <w:r w:rsidRPr="00564896">
        <w:rPr>
          <w:rFonts w:ascii="Times New Roman" w:eastAsia="Times New Roman" w:hAnsi="Times New Roman" w:cs="Times New Roman"/>
          <w:b/>
          <w:bCs/>
          <w:kern w:val="0"/>
          <w:sz w:val="36"/>
          <w:szCs w:val="36"/>
          <w14:ligatures w14:val="none"/>
        </w:rPr>
        <w:t>)</w:t>
      </w:r>
    </w:p>
    <w:p w14:paraId="2730889C" w14:textId="77777777" w:rsidR="00564896" w:rsidRPr="00564896" w:rsidRDefault="00564896" w:rsidP="0056489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kern w:val="0"/>
          <w14:ligatures w14:val="none"/>
        </w:rPr>
        <w:t>Final name confirmation.</w:t>
      </w:r>
    </w:p>
    <w:p w14:paraId="0BF59554" w14:textId="77777777" w:rsidR="00564896" w:rsidRPr="00564896" w:rsidRDefault="00564896" w:rsidP="0056489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kern w:val="0"/>
          <w14:ligatures w14:val="none"/>
        </w:rPr>
        <w:t>General Collective membership's own selection/access process, distinct from the Fellowship's formal application and interview.</w:t>
      </w:r>
    </w:p>
    <w:p w14:paraId="676E6405" w14:textId="77777777" w:rsidR="00564896" w:rsidRPr="00564896" w:rsidRDefault="00564896" w:rsidP="0056489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kern w:val="0"/>
          <w14:ligatures w14:val="none"/>
        </w:rPr>
        <w:t>Square footage and physical layout — explicitly deferred to your own document.</w:t>
      </w:r>
    </w:p>
    <w:p w14:paraId="11000FFA" w14:textId="77777777" w:rsidR="00564896" w:rsidRPr="00564896" w:rsidRDefault="00564896" w:rsidP="0056489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4896">
        <w:rPr>
          <w:rFonts w:ascii="Times New Roman" w:eastAsia="Times New Roman" w:hAnsi="Times New Roman" w:cs="Times New Roman"/>
          <w:kern w:val="0"/>
          <w14:ligatures w14:val="none"/>
        </w:rPr>
        <w:t>The actual funding mechanism's specifics, once the story is ready to unresolve the "mucky" status — not needed yet.</w:t>
      </w:r>
    </w:p>
    <w:p w14:paraId="5435CD1A" w14:textId="77777777" w:rsidR="003B77F9" w:rsidRPr="003B77F9" w:rsidRDefault="003B77F9" w:rsidP="003B77F9">
      <w:pPr>
        <w:rPr>
          <w:b/>
          <w:bCs/>
        </w:rPr>
      </w:pPr>
      <w:r w:rsidRPr="003B77F9">
        <w:rPr>
          <w:b/>
          <w:bCs/>
        </w:rPr>
        <w:t>The Erato Collective — Complete Reference</w:t>
      </w:r>
    </w:p>
    <w:p w14:paraId="2F0A48D8" w14:textId="77777777" w:rsidR="003B77F9" w:rsidRPr="003B77F9" w:rsidRDefault="003B77F9" w:rsidP="003B77F9">
      <w:r w:rsidRPr="003B77F9">
        <w:rPr>
          <w:i/>
          <w:iCs/>
        </w:rPr>
        <w:t>Area 1 of the Anchor Complex, replacing the old thin "Art Gallery" placeholder entirely. Fully new — nothing here existed anywhere before this conversation. Named for Erato, the Greek muse of lyric and love poetry, continuing the household's existing mythological naming convention (Athena, Metis).</w:t>
      </w:r>
    </w:p>
    <w:p w14:paraId="38995D9C" w14:textId="77777777" w:rsidR="003B77F9" w:rsidRPr="003B77F9" w:rsidRDefault="003B77F9" w:rsidP="003B77F9">
      <w:r w:rsidRPr="003B77F9">
        <w:pict w14:anchorId="69253A2D">
          <v:rect id="_x0000_i1051" style="width:0;height:1.5pt" o:hralign="center" o:hrstd="t" o:hr="t" fillcolor="#a0a0a0" stroked="f"/>
        </w:pict>
      </w:r>
    </w:p>
    <w:p w14:paraId="6EA90D06" w14:textId="77777777" w:rsidR="003B77F9" w:rsidRPr="003B77F9" w:rsidRDefault="003B77F9" w:rsidP="003B77F9">
      <w:pPr>
        <w:rPr>
          <w:b/>
          <w:bCs/>
        </w:rPr>
      </w:pPr>
      <w:r w:rsidRPr="003B77F9">
        <w:rPr>
          <w:b/>
          <w:bCs/>
        </w:rPr>
        <w:t>What This Is</w:t>
      </w:r>
    </w:p>
    <w:p w14:paraId="666599D6" w14:textId="77777777" w:rsidR="003B77F9" w:rsidRPr="003B77F9" w:rsidRDefault="003B77F9" w:rsidP="003B77F9">
      <w:r w:rsidRPr="003B77F9">
        <w:t>Not a gallery that occasionally hangs art — a working studio-and-gallery complex built around an actual artist collective, championing lesbian and feminist artists through the collective's own presence and output, not just curated-in acquisitions. The distinction matters: this is the artists themselves, in residence and working, with the gallery function built around their studio practice rather than the other way around.</w:t>
      </w:r>
    </w:p>
    <w:p w14:paraId="62CB8DEB" w14:textId="77777777" w:rsidR="003B77F9" w:rsidRPr="003B77F9" w:rsidRDefault="003B77F9" w:rsidP="003B77F9">
      <w:pPr>
        <w:rPr>
          <w:b/>
          <w:bCs/>
        </w:rPr>
      </w:pPr>
      <w:r w:rsidRPr="003B77F9">
        <w:rPr>
          <w:b/>
          <w:bCs/>
        </w:rPr>
        <w:t>Structure — Two Tiers</w:t>
      </w:r>
    </w:p>
    <w:p w14:paraId="36104EC8" w14:textId="77777777" w:rsidR="003B77F9" w:rsidRPr="003B77F9" w:rsidRDefault="003B77F9" w:rsidP="003B77F9">
      <w:r w:rsidRPr="003B77F9">
        <w:rPr>
          <w:b/>
          <w:bCs/>
        </w:rPr>
        <w:t>The Fellowship (half a dozen at a time):</w:t>
      </w:r>
      <w:r w:rsidRPr="003B77F9">
        <w:t xml:space="preserve"> A funded residency program — a small, rotating cohort of six artists in active fellowship at any given time, with real turnover rather than a fixed permanent roster. Selected through an application and interview process, the same as any competitive residency program would run.</w:t>
      </w:r>
    </w:p>
    <w:p w14:paraId="2AAB2367" w14:textId="77777777" w:rsidR="003B77F9" w:rsidRPr="003B77F9" w:rsidRDefault="003B77F9" w:rsidP="003B77F9">
      <w:r w:rsidRPr="003B77F9">
        <w:rPr>
          <w:b/>
          <w:bCs/>
        </w:rPr>
        <w:lastRenderedPageBreak/>
        <w:t>The Collective (broader):</w:t>
      </w:r>
      <w:r w:rsidRPr="003B77F9">
        <w:t xml:space="preserve"> Studio workspace is available to the wider collective, not just the six current fellows — a larger, less formally </w:t>
      </w:r>
      <w:proofErr w:type="gramStart"/>
      <w:r w:rsidRPr="003B77F9">
        <w:t>bounded</w:t>
      </w:r>
      <w:proofErr w:type="gramEnd"/>
      <w:r w:rsidRPr="003B77F9">
        <w:t xml:space="preserve"> community of artists connected to the program beyond the funded cohort. The Fellowship is the selective, resourced inner tier; the Collective is the broader base it draws from and stays connected to.</w:t>
      </w:r>
    </w:p>
    <w:p w14:paraId="0279EA9B" w14:textId="77777777" w:rsidR="003B77F9" w:rsidRPr="003B77F9" w:rsidRDefault="003B77F9" w:rsidP="003B77F9">
      <w:pPr>
        <w:rPr>
          <w:b/>
          <w:bCs/>
        </w:rPr>
      </w:pPr>
      <w:r w:rsidRPr="003B77F9">
        <w:rPr>
          <w:b/>
          <w:bCs/>
        </w:rPr>
        <w:t>Housing</w:t>
      </w:r>
    </w:p>
    <w:p w14:paraId="1A29FB07" w14:textId="77777777" w:rsidR="003B77F9" w:rsidRPr="003B77F9" w:rsidRDefault="003B77F9" w:rsidP="003B77F9">
      <w:r w:rsidRPr="003B77F9">
        <w:rPr>
          <w:b/>
          <w:bCs/>
        </w:rPr>
        <w:t>Off-site — not in-house residence.</w:t>
      </w:r>
      <w:r w:rsidRPr="003B77F9">
        <w:t xml:space="preserve"> Unlike the household's own staff (who live in the Staff Residence tower on the grounds), fellows </w:t>
      </w:r>
      <w:proofErr w:type="gramStart"/>
      <w:r w:rsidRPr="003B77F9">
        <w:t>commute in</w:t>
      </w:r>
      <w:proofErr w:type="gramEnd"/>
      <w:r w:rsidRPr="003B77F9">
        <w:t xml:space="preserve"> to use the studio and gallery rather than living on the estate itself. Consistent with their status as artists in a funded program rather than employees.</w:t>
      </w:r>
    </w:p>
    <w:p w14:paraId="578FF04B" w14:textId="77777777" w:rsidR="003B77F9" w:rsidRPr="003B77F9" w:rsidRDefault="003B77F9" w:rsidP="003B77F9">
      <w:pPr>
        <w:rPr>
          <w:b/>
          <w:bCs/>
        </w:rPr>
      </w:pPr>
      <w:r w:rsidRPr="003B77F9">
        <w:rPr>
          <w:b/>
          <w:bCs/>
        </w:rPr>
        <w:t>Selection Process</w:t>
      </w:r>
    </w:p>
    <w:p w14:paraId="4802594B" w14:textId="77777777" w:rsidR="003B77F9" w:rsidRPr="003B77F9" w:rsidRDefault="003B77F9" w:rsidP="003B77F9">
      <w:r w:rsidRPr="003B77F9">
        <w:t>Application and interview, for both entry into the Fellowship specifically and, presumably, some lighter-touch process for general Collective membership/workspace access (not yet specified — worth deciding later if a story needs that level of detail).</w:t>
      </w:r>
    </w:p>
    <w:p w14:paraId="1D28693E" w14:textId="77777777" w:rsidR="003B77F9" w:rsidRPr="003B77F9" w:rsidRDefault="003B77F9" w:rsidP="003B77F9">
      <w:pPr>
        <w:rPr>
          <w:b/>
          <w:bCs/>
        </w:rPr>
      </w:pPr>
      <w:r w:rsidRPr="003B77F9">
        <w:rPr>
          <w:b/>
          <w:bCs/>
        </w:rPr>
        <w:t>Hiring Philosophy — Applies</w:t>
      </w:r>
    </w:p>
    <w:p w14:paraId="325A1E94" w14:textId="77777777" w:rsidR="003B77F9" w:rsidRPr="003B77F9" w:rsidRDefault="003B77F9" w:rsidP="003B77F9">
      <w:r w:rsidRPr="003B77F9">
        <w:t>The same rule governing every role on the estate and across the empire (women who are lesbian or transgender, cisgender or trans) applies here too, to artist selection specifically. Given the Collective's entire founding purpose is championing lesbian and feminist artists, this isn't an awkward extension of an unrelated corporate policy the way it might read elsewhere — it's the whole point, made structural.</w:t>
      </w:r>
    </w:p>
    <w:p w14:paraId="4653F04D" w14:textId="77777777" w:rsidR="003B77F9" w:rsidRPr="003B77F9" w:rsidRDefault="003B77F9" w:rsidP="003B77F9">
      <w:pPr>
        <w:rPr>
          <w:b/>
          <w:bCs/>
        </w:rPr>
      </w:pPr>
      <w:r w:rsidRPr="003B77F9">
        <w:rPr>
          <w:b/>
          <w:bCs/>
        </w:rPr>
        <w:t>Medium — Fully Open</w:t>
      </w:r>
    </w:p>
    <w:p w14:paraId="1D36A054" w14:textId="77777777" w:rsidR="003B77F9" w:rsidRPr="003B77F9" w:rsidRDefault="003B77F9" w:rsidP="003B77F9">
      <w:r w:rsidRPr="003B77F9">
        <w:t xml:space="preserve">No restriction to visual art or sculpture specifically. Painting, sculpture, textile art, photography, installation, and any other medium a fellow or collective member works in. Given the fashion empire's own scale, textile-based and wearable art </w:t>
      </w:r>
      <w:proofErr w:type="gramStart"/>
      <w:r w:rsidRPr="003B77F9">
        <w:t>in particular has</w:t>
      </w:r>
      <w:proofErr w:type="gramEnd"/>
      <w:r w:rsidRPr="003B77F9">
        <w:t xml:space="preserve"> an obvious, natural connection </w:t>
      </w:r>
      <w:proofErr w:type="gramStart"/>
      <w:r w:rsidRPr="003B77F9">
        <w:t>point</w:t>
      </w:r>
      <w:proofErr w:type="gramEnd"/>
      <w:r w:rsidRPr="003B77F9">
        <w:t xml:space="preserve"> back into the household's broader world without that connection needing to be forced.</w:t>
      </w:r>
    </w:p>
    <w:p w14:paraId="53B16EA3" w14:textId="77777777" w:rsidR="003B77F9" w:rsidRPr="003B77F9" w:rsidRDefault="003B77F9" w:rsidP="003B77F9">
      <w:pPr>
        <w:rPr>
          <w:b/>
          <w:bCs/>
        </w:rPr>
      </w:pPr>
      <w:r w:rsidRPr="003B77F9">
        <w:rPr>
          <w:b/>
          <w:bCs/>
        </w:rPr>
        <w:t>Where Finished Work Goes — Three Paths</w:t>
      </w:r>
    </w:p>
    <w:p w14:paraId="58EE3EED" w14:textId="77777777" w:rsidR="003B77F9" w:rsidRPr="003B77F9" w:rsidRDefault="003B77F9" w:rsidP="003B77F9">
      <w:pPr>
        <w:numPr>
          <w:ilvl w:val="0"/>
          <w:numId w:val="4"/>
        </w:numPr>
      </w:pPr>
      <w:r w:rsidRPr="003B77F9">
        <w:rPr>
          <w:b/>
          <w:bCs/>
        </w:rPr>
        <w:t>Migrates into the estate's own collection</w:t>
      </w:r>
      <w:r w:rsidRPr="003B77F9">
        <w:t xml:space="preserve"> — some pieces join the household's existing curated art (the Anchor Suite's own established feminist-artist curation is the obvious precedent this extends).</w:t>
      </w:r>
    </w:p>
    <w:p w14:paraId="46F0F086" w14:textId="77777777" w:rsidR="003B77F9" w:rsidRPr="003B77F9" w:rsidRDefault="003B77F9" w:rsidP="003B77F9">
      <w:pPr>
        <w:numPr>
          <w:ilvl w:val="0"/>
          <w:numId w:val="4"/>
        </w:numPr>
      </w:pPr>
      <w:r w:rsidRPr="003B77F9">
        <w:rPr>
          <w:b/>
          <w:bCs/>
        </w:rPr>
        <w:t xml:space="preserve">Direct </w:t>
      </w:r>
      <w:proofErr w:type="gramStart"/>
      <w:r w:rsidRPr="003B77F9">
        <w:rPr>
          <w:b/>
          <w:bCs/>
        </w:rPr>
        <w:t>commission</w:t>
      </w:r>
      <w:r w:rsidRPr="003B77F9">
        <w:t xml:space="preserve"> — some work is</w:t>
      </w:r>
      <w:proofErr w:type="gramEnd"/>
      <w:r w:rsidRPr="003B77F9">
        <w:t xml:space="preserve"> commissioned outright rather than created independently and selected afterward.</w:t>
      </w:r>
    </w:p>
    <w:p w14:paraId="24482A22" w14:textId="77777777" w:rsidR="003B77F9" w:rsidRPr="003B77F9" w:rsidRDefault="003B77F9" w:rsidP="003B77F9">
      <w:pPr>
        <w:numPr>
          <w:ilvl w:val="0"/>
          <w:numId w:val="4"/>
        </w:numPr>
      </w:pPr>
      <w:r w:rsidRPr="003B77F9">
        <w:rPr>
          <w:b/>
          <w:bCs/>
        </w:rPr>
        <w:lastRenderedPageBreak/>
        <w:t>Sold during public exhibitions</w:t>
      </w:r>
      <w:r w:rsidRPr="003B77F9">
        <w:t xml:space="preserve"> — the gallery half of the complex hosts actual exhibition events, the same scheduled-visit model as the rest of the Anchor Complex, where collective work is available for outside purchase.</w:t>
      </w:r>
    </w:p>
    <w:p w14:paraId="7F8531F0" w14:textId="77777777" w:rsidR="003B77F9" w:rsidRPr="003B77F9" w:rsidRDefault="003B77F9" w:rsidP="003B77F9">
      <w:pPr>
        <w:numPr>
          <w:ilvl w:val="0"/>
          <w:numId w:val="4"/>
        </w:numPr>
      </w:pPr>
      <w:r w:rsidRPr="003B77F9">
        <w:rPr>
          <w:i/>
          <w:iCs/>
        </w:rPr>
        <w:t>(A fourth, implicit path: some work simply remains the artist's own — not every piece is acquired, commissioned, or sold through the estate at all.)</w:t>
      </w:r>
    </w:p>
    <w:p w14:paraId="33D9D15A" w14:textId="77777777" w:rsidR="003B77F9" w:rsidRPr="003B77F9" w:rsidRDefault="003B77F9" w:rsidP="003B77F9">
      <w:pPr>
        <w:rPr>
          <w:b/>
          <w:bCs/>
        </w:rPr>
      </w:pPr>
      <w:r w:rsidRPr="003B77F9">
        <w:rPr>
          <w:b/>
          <w:bCs/>
        </w:rPr>
        <w:t>Funding — Deliberately Unresolved On-Page (For Now)</w:t>
      </w:r>
    </w:p>
    <w:p w14:paraId="46414BA0" w14:textId="77777777" w:rsidR="003B77F9" w:rsidRPr="003B77F9" w:rsidRDefault="003B77F9" w:rsidP="003B77F9">
      <w:r w:rsidRPr="003B77F9">
        <w:t xml:space="preserve">The funding structure has been left genuinely "mucky" in the story so far — not yet cleanly established on-page. </w:t>
      </w:r>
      <w:r w:rsidRPr="003B77F9">
        <w:rPr>
          <w:b/>
          <w:bCs/>
        </w:rPr>
        <w:t>Confirmed future beat:</w:t>
      </w:r>
      <w:r w:rsidRPr="003B77F9">
        <w:t xml:space="preserve"> this surfaces as part of the eventual wider "J." identity reveal, when Jim's private patronage becomes public — echoing the same structural beat as Cassandra Labs' anonymous funding coming to light. Until that happens, don't resolve or over-specify the funding mechanism prematurely; it's meant to stay unclear the way Cassandra Labs' funding stayed unclear right up until Athena's own reveal.</w:t>
      </w:r>
    </w:p>
    <w:p w14:paraId="51FF2279" w14:textId="77777777" w:rsidR="003B77F9" w:rsidRPr="003B77F9" w:rsidRDefault="003B77F9" w:rsidP="003B77F9">
      <w:pPr>
        <w:rPr>
          <w:b/>
          <w:bCs/>
        </w:rPr>
      </w:pPr>
      <w:r w:rsidRPr="003B77F9">
        <w:rPr>
          <w:b/>
          <w:bCs/>
        </w:rPr>
        <w:t>Physical Space</w:t>
      </w:r>
    </w:p>
    <w:p w14:paraId="43DA64A2" w14:textId="77777777" w:rsidR="003B77F9" w:rsidRPr="003B77F9" w:rsidRDefault="003B77F9" w:rsidP="003B77F9">
      <w:r w:rsidRPr="003B77F9">
        <w:rPr>
          <w:b/>
          <w:bCs/>
        </w:rPr>
        <w:t xml:space="preserve">Studio + gallery + permanent collection, </w:t>
      </w:r>
      <w:proofErr w:type="gramStart"/>
      <w:r w:rsidRPr="003B77F9">
        <w:rPr>
          <w:b/>
          <w:bCs/>
        </w:rPr>
        <w:t>combined</w:t>
      </w:r>
      <w:r w:rsidRPr="003B77F9">
        <w:t xml:space="preserve"> —</w:t>
      </w:r>
      <w:proofErr w:type="gramEnd"/>
      <w:r w:rsidRPr="003B77F9">
        <w:t xml:space="preserve"> working artist space and exhibition space together, not separated into a working wing and a display wing. Square footage deliberately not assigned here — you're sizing this in your own document, and it's already been noted this needs to run bigger than the original placeholder's ~8,000–10,000 sq ft to actually support six working fellows plus a broader collective's studio access, on top of gallery/exhibition and permanent-collection space.</w:t>
      </w:r>
    </w:p>
    <w:p w14:paraId="2C536B2D" w14:textId="77777777" w:rsidR="003B77F9" w:rsidRPr="003B77F9" w:rsidRDefault="003B77F9" w:rsidP="003B77F9">
      <w:pPr>
        <w:rPr>
          <w:b/>
          <w:bCs/>
        </w:rPr>
      </w:pPr>
      <w:r w:rsidRPr="003B77F9">
        <w:rPr>
          <w:b/>
          <w:bCs/>
        </w:rPr>
        <w:t>The Gallery Itself</w:t>
      </w:r>
    </w:p>
    <w:p w14:paraId="17436C66" w14:textId="77777777" w:rsidR="003B77F9" w:rsidRPr="003B77F9" w:rsidRDefault="003B77F9" w:rsidP="003B77F9">
      <w:r w:rsidRPr="003B77F9">
        <w:rPr>
          <w:i/>
          <w:iCs/>
        </w:rPr>
        <w:t>The actual exhibition function — distinct from the studio space above, and the piece this document originally shortchanged.</w:t>
      </w:r>
    </w:p>
    <w:p w14:paraId="10A250BC" w14:textId="77777777" w:rsidR="003B77F9" w:rsidRPr="003B77F9" w:rsidRDefault="003B77F9" w:rsidP="003B77F9">
      <w:r w:rsidRPr="003B77F9">
        <w:rPr>
          <w:b/>
          <w:bCs/>
        </w:rPr>
        <w:t>Exhibition Halls:</w:t>
      </w:r>
      <w:r w:rsidRPr="003B77F9">
        <w:t xml:space="preserve"> Following the same modular logic already established for the Museum's own Exhibit Halls — individually walled gallery spaces that can combine for a major show or partition down for something smaller and more focused, without structural changes between exhibitions. Given the medium is fully open (painting, sculpture, textile art, photography, installation), the halls need real flexibility built in from the start: adjustable lighting rigs, movable wall systems, reinforced floor sections for heavier sculpture or installation work, and at least one hall with the ceiling height and floor load capacity to handle large-scale or hanging installation pieces — none of which a conventional painting-and-sculpture gallery necessarily needs, but this one does given the scope.</w:t>
      </w:r>
    </w:p>
    <w:p w14:paraId="3E00014E" w14:textId="77777777" w:rsidR="003B77F9" w:rsidRPr="003B77F9" w:rsidRDefault="003B77F9" w:rsidP="003B77F9">
      <w:r w:rsidRPr="003B77F9">
        <w:rPr>
          <w:b/>
          <w:bCs/>
        </w:rPr>
        <w:t>The Permanent Collection:</w:t>
      </w:r>
      <w:r w:rsidRPr="003B77F9">
        <w:t xml:space="preserve"> Distinct from rotating exhibitions — a standing display of work that has become part of the collective's own history rather than currently for sale or on loan. This is where a fellow's work might live after their residency ends, if it was acquired by </w:t>
      </w:r>
      <w:r w:rsidRPr="003B77F9">
        <w:lastRenderedPageBreak/>
        <w:t>the collective/estate rather than following one of the other three paths (commission, exhibition sale, or staying with the artist). Builds over time as fellowship cohorts turn over, giving the space a growing sense of its own institutional memory the way a residency program's alumni wall would, but realized as actual gallery-quality permanent installation rather than a hallway of photographs.</w:t>
      </w:r>
    </w:p>
    <w:p w14:paraId="213EF257" w14:textId="77777777" w:rsidR="003B77F9" w:rsidRPr="003B77F9" w:rsidRDefault="003B77F9" w:rsidP="003B77F9">
      <w:r w:rsidRPr="003B77F9">
        <w:rPr>
          <w:b/>
          <w:bCs/>
        </w:rPr>
        <w:t>Exhibition Format &amp; Rhythm:</w:t>
      </w:r>
      <w:r w:rsidRPr="003B77F9">
        <w:t xml:space="preserve"> Given six fellows in rotating </w:t>
      </w:r>
      <w:proofErr w:type="spellStart"/>
      <w:r w:rsidRPr="003B77F9">
        <w:t>residency</w:t>
      </w:r>
      <w:proofErr w:type="spellEnd"/>
      <w:r w:rsidRPr="003B77F9">
        <w:t>, a natural default is regular turnover exhibitions — new or departing fellows getting real show time rather than the gallery only mounting occasional large-scale events. This could run as anything from a standing rhythm (a show marking each fellow's residency milestone) to more ad hoc programming tied to when work is actually ready — worth deciding in your own document, but the studio-residency structure practically implies more frequent, smaller-scale exhibition activity than the Museum's own less frequent, higher-ceremony retrospectives.</w:t>
      </w:r>
    </w:p>
    <w:p w14:paraId="06E3C7C1" w14:textId="77777777" w:rsidR="003B77F9" w:rsidRPr="003B77F9" w:rsidRDefault="003B77F9" w:rsidP="003B77F9">
      <w:r w:rsidRPr="003B77F9">
        <w:rPr>
          <w:b/>
          <w:bCs/>
        </w:rPr>
        <w:t>Reception &amp; Event Capacity:</w:t>
      </w:r>
      <w:r w:rsidRPr="003B77F9">
        <w:t xml:space="preserve"> Shares the Anchor Complex's single shared entrance and reception (see the complex-level document), but the Gallery likely wants its own dedicated event/opening-night space distinct from both the Museum's reception area and the Showroom's more commercial briefing theater — an opening reception has a different social register than a business-visit or licensing demonstration, closer to the tone of an actual art-world opening than either of the complex's other two areas.</w:t>
      </w:r>
    </w:p>
    <w:p w14:paraId="6B72E9EA" w14:textId="77777777" w:rsidR="003B77F9" w:rsidRPr="003B77F9" w:rsidRDefault="003B77F9" w:rsidP="003B77F9">
      <w:proofErr w:type="gramStart"/>
      <w:r w:rsidRPr="003B77F9">
        <w:rPr>
          <w:b/>
          <w:bCs/>
        </w:rPr>
        <w:t>Access model,</w:t>
      </w:r>
      <w:proofErr w:type="gramEnd"/>
      <w:r w:rsidRPr="003B77F9">
        <w:rPr>
          <w:b/>
          <w:bCs/>
        </w:rPr>
        <w:t xml:space="preserve"> reconciled:</w:t>
      </w:r>
      <w:r w:rsidRPr="003B77F9">
        <w:t xml:space="preserve"> the complex-wide standard (biometric, scheduled visits only, never simply "open") governs general gallery visitors — but fellows and Collective members need standing working access to the studio side, distinct from and more permissive than the visitor model. Worth writing these as two explicitly different access tiers within the same building: a public/visitor tier (Museum-style, scheduled) and a working-artist tier (more like estate staff access, though the Collective isn't estate staff and shouldn't be governed by that system directly).</w:t>
      </w:r>
    </w:p>
    <w:p w14:paraId="328495B1" w14:textId="77777777" w:rsidR="003B77F9" w:rsidRPr="003B77F9" w:rsidRDefault="003B77F9" w:rsidP="003B77F9">
      <w:pPr>
        <w:rPr>
          <w:b/>
          <w:bCs/>
        </w:rPr>
      </w:pPr>
      <w:r w:rsidRPr="003B77F9">
        <w:rPr>
          <w:b/>
          <w:bCs/>
        </w:rPr>
        <w:t>Where This Fits</w:t>
      </w:r>
    </w:p>
    <w:p w14:paraId="236F7F7E" w14:textId="77777777" w:rsidR="003B77F9" w:rsidRPr="003B77F9" w:rsidRDefault="003B77F9" w:rsidP="003B77F9">
      <w:pPr>
        <w:numPr>
          <w:ilvl w:val="0"/>
          <w:numId w:val="5"/>
        </w:numPr>
      </w:pPr>
      <w:r w:rsidRPr="003B77F9">
        <w:rPr>
          <w:b/>
          <w:bCs/>
        </w:rPr>
        <w:t>Area 1 of the Anchor Complex</w:t>
      </w:r>
      <w:r w:rsidRPr="003B77F9">
        <w:t>, alongside the Whitfield Museum of Fashion (Area 2) and the Combined Showroom (Area 3) — one shared entrance and reception, per the complex's existing structure.</w:t>
      </w:r>
    </w:p>
    <w:p w14:paraId="077AD699" w14:textId="77777777" w:rsidR="003B77F9" w:rsidRPr="003B77F9" w:rsidRDefault="003B77F9" w:rsidP="003B77F9">
      <w:pPr>
        <w:numPr>
          <w:ilvl w:val="0"/>
          <w:numId w:val="5"/>
        </w:numPr>
      </w:pPr>
      <w:r w:rsidRPr="003B77F9">
        <w:rPr>
          <w:b/>
          <w:bCs/>
        </w:rPr>
        <w:t>Access model:</w:t>
      </w:r>
      <w:r w:rsidRPr="003B77F9">
        <w:t xml:space="preserve"> presumably the same scheduled-visit, biometric standard as the rest of the complex for gallery/exhibition visits — though fellows and collective members themselves would need standing working access to the studio, distinct from the general visitor model. Worth confirming this distinction when you write it up.</w:t>
      </w:r>
    </w:p>
    <w:p w14:paraId="0E876C8C" w14:textId="77777777" w:rsidR="003B77F9" w:rsidRPr="003B77F9" w:rsidRDefault="003B77F9" w:rsidP="003B77F9">
      <w:pPr>
        <w:numPr>
          <w:ilvl w:val="0"/>
          <w:numId w:val="5"/>
        </w:numPr>
      </w:pPr>
      <w:r w:rsidRPr="003B77F9">
        <w:rPr>
          <w:b/>
          <w:bCs/>
        </w:rPr>
        <w:lastRenderedPageBreak/>
        <w:t>Naming:</w:t>
      </w:r>
      <w:r w:rsidRPr="003B77F9">
        <w:t xml:space="preserve"> proposed as Erato, pending your confirmation or a swap to Thalia, Calliope, or another muse entirely.</w:t>
      </w:r>
    </w:p>
    <w:p w14:paraId="7C5BFCD7" w14:textId="77777777" w:rsidR="003B77F9" w:rsidRPr="003B77F9" w:rsidRDefault="003B77F9" w:rsidP="003B77F9">
      <w:pPr>
        <w:rPr>
          <w:b/>
          <w:bCs/>
        </w:rPr>
      </w:pPr>
      <w:r w:rsidRPr="003B77F9">
        <w:rPr>
          <w:b/>
          <w:bCs/>
        </w:rPr>
        <w:t xml:space="preserve">Open Items (Not </w:t>
      </w:r>
      <w:proofErr w:type="gramStart"/>
      <w:r w:rsidRPr="003B77F9">
        <w:rPr>
          <w:b/>
          <w:bCs/>
        </w:rPr>
        <w:t>Yet Decided</w:t>
      </w:r>
      <w:proofErr w:type="gramEnd"/>
      <w:r w:rsidRPr="003B77F9">
        <w:rPr>
          <w:b/>
          <w:bCs/>
        </w:rPr>
        <w:t>)</w:t>
      </w:r>
    </w:p>
    <w:p w14:paraId="6FFFB6F8" w14:textId="77777777" w:rsidR="003B77F9" w:rsidRPr="003B77F9" w:rsidRDefault="003B77F9" w:rsidP="003B77F9">
      <w:pPr>
        <w:numPr>
          <w:ilvl w:val="0"/>
          <w:numId w:val="6"/>
        </w:numPr>
      </w:pPr>
      <w:r w:rsidRPr="003B77F9">
        <w:t>Final name confirmation.</w:t>
      </w:r>
    </w:p>
    <w:p w14:paraId="401B3377" w14:textId="77777777" w:rsidR="003B77F9" w:rsidRPr="003B77F9" w:rsidRDefault="003B77F9" w:rsidP="003B77F9">
      <w:pPr>
        <w:numPr>
          <w:ilvl w:val="0"/>
          <w:numId w:val="6"/>
        </w:numPr>
      </w:pPr>
      <w:r w:rsidRPr="003B77F9">
        <w:t>General Collective membership's own selection/access process, distinct from the Fellowship's formal application and interview.</w:t>
      </w:r>
    </w:p>
    <w:p w14:paraId="6E92414E" w14:textId="77777777" w:rsidR="003B77F9" w:rsidRPr="003B77F9" w:rsidRDefault="003B77F9" w:rsidP="003B77F9">
      <w:pPr>
        <w:numPr>
          <w:ilvl w:val="0"/>
          <w:numId w:val="6"/>
        </w:numPr>
      </w:pPr>
      <w:r w:rsidRPr="003B77F9">
        <w:t>Square footage and physical layout — explicitly deferred to your own document.</w:t>
      </w:r>
    </w:p>
    <w:p w14:paraId="7BE04ECF" w14:textId="77777777" w:rsidR="003B77F9" w:rsidRPr="003B77F9" w:rsidRDefault="003B77F9" w:rsidP="003B77F9">
      <w:pPr>
        <w:numPr>
          <w:ilvl w:val="0"/>
          <w:numId w:val="6"/>
        </w:numPr>
      </w:pPr>
      <w:r w:rsidRPr="003B77F9">
        <w:t>The actual funding mechanism's specifics, once the story is ready to unresolve the "mucky" status — not needed yet.</w:t>
      </w:r>
    </w:p>
    <w:p w14:paraId="15C29442" w14:textId="77777777" w:rsidR="00116558" w:rsidRDefault="00116558"/>
    <w:sectPr w:rsidR="00116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524D"/>
    <w:multiLevelType w:val="multilevel"/>
    <w:tmpl w:val="2276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3D38C2"/>
    <w:multiLevelType w:val="multilevel"/>
    <w:tmpl w:val="66A40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95451D"/>
    <w:multiLevelType w:val="multilevel"/>
    <w:tmpl w:val="745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F690A"/>
    <w:multiLevelType w:val="multilevel"/>
    <w:tmpl w:val="CC3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B261E0"/>
    <w:multiLevelType w:val="multilevel"/>
    <w:tmpl w:val="3A84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7E14E0"/>
    <w:multiLevelType w:val="multilevel"/>
    <w:tmpl w:val="368AB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8178728">
    <w:abstractNumId w:val="1"/>
  </w:num>
  <w:num w:numId="2" w16cid:durableId="168764073">
    <w:abstractNumId w:val="3"/>
  </w:num>
  <w:num w:numId="3" w16cid:durableId="769936827">
    <w:abstractNumId w:val="4"/>
  </w:num>
  <w:num w:numId="4" w16cid:durableId="318703430">
    <w:abstractNumId w:val="0"/>
  </w:num>
  <w:num w:numId="5" w16cid:durableId="1824931166">
    <w:abstractNumId w:val="2"/>
  </w:num>
  <w:num w:numId="6" w16cid:durableId="13933826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896"/>
    <w:rsid w:val="00116558"/>
    <w:rsid w:val="003B77F9"/>
    <w:rsid w:val="00564896"/>
    <w:rsid w:val="00A36E99"/>
    <w:rsid w:val="00EF5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4A138"/>
  <w15:chartTrackingRefBased/>
  <w15:docId w15:val="{8388AB1E-5DF8-480F-BDB6-BC7794BF0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896"/>
    <w:rPr>
      <w:rFonts w:eastAsiaTheme="majorEastAsia" w:cstheme="majorBidi"/>
      <w:color w:val="272727" w:themeColor="text1" w:themeTint="D8"/>
    </w:rPr>
  </w:style>
  <w:style w:type="paragraph" w:styleId="Title">
    <w:name w:val="Title"/>
    <w:basedOn w:val="Normal"/>
    <w:next w:val="Normal"/>
    <w:link w:val="TitleChar"/>
    <w:uiPriority w:val="10"/>
    <w:qFormat/>
    <w:rsid w:val="00564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896"/>
    <w:pPr>
      <w:spacing w:before="160"/>
      <w:jc w:val="center"/>
    </w:pPr>
    <w:rPr>
      <w:i/>
      <w:iCs/>
      <w:color w:val="404040" w:themeColor="text1" w:themeTint="BF"/>
    </w:rPr>
  </w:style>
  <w:style w:type="character" w:customStyle="1" w:styleId="QuoteChar">
    <w:name w:val="Quote Char"/>
    <w:basedOn w:val="DefaultParagraphFont"/>
    <w:link w:val="Quote"/>
    <w:uiPriority w:val="29"/>
    <w:rsid w:val="00564896"/>
    <w:rPr>
      <w:i/>
      <w:iCs/>
      <w:color w:val="404040" w:themeColor="text1" w:themeTint="BF"/>
    </w:rPr>
  </w:style>
  <w:style w:type="paragraph" w:styleId="ListParagraph">
    <w:name w:val="List Paragraph"/>
    <w:basedOn w:val="Normal"/>
    <w:uiPriority w:val="34"/>
    <w:qFormat/>
    <w:rsid w:val="00564896"/>
    <w:pPr>
      <w:ind w:left="720"/>
      <w:contextualSpacing/>
    </w:pPr>
  </w:style>
  <w:style w:type="character" w:styleId="IntenseEmphasis">
    <w:name w:val="Intense Emphasis"/>
    <w:basedOn w:val="DefaultParagraphFont"/>
    <w:uiPriority w:val="21"/>
    <w:qFormat/>
    <w:rsid w:val="00564896"/>
    <w:rPr>
      <w:i/>
      <w:iCs/>
      <w:color w:val="0F4761" w:themeColor="accent1" w:themeShade="BF"/>
    </w:rPr>
  </w:style>
  <w:style w:type="paragraph" w:styleId="IntenseQuote">
    <w:name w:val="Intense Quote"/>
    <w:basedOn w:val="Normal"/>
    <w:next w:val="Normal"/>
    <w:link w:val="IntenseQuoteChar"/>
    <w:uiPriority w:val="30"/>
    <w:qFormat/>
    <w:rsid w:val="00564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896"/>
    <w:rPr>
      <w:i/>
      <w:iCs/>
      <w:color w:val="0F4761" w:themeColor="accent1" w:themeShade="BF"/>
    </w:rPr>
  </w:style>
  <w:style w:type="character" w:styleId="IntenseReference">
    <w:name w:val="Intense Reference"/>
    <w:basedOn w:val="DefaultParagraphFont"/>
    <w:uiPriority w:val="32"/>
    <w:qFormat/>
    <w:rsid w:val="00564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2014</Words>
  <Characters>12729</Characters>
  <Application>Microsoft Office Word</Application>
  <DocSecurity>0</DocSecurity>
  <Lines>254</Lines>
  <Paragraphs>70</Paragraphs>
  <ScaleCrop>false</ScaleCrop>
  <Company/>
  <LinksUpToDate>false</LinksUpToDate>
  <CharactersWithSpaces>14673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2</cp:revision>
  <dcterms:created xsi:type="dcterms:W3CDTF">2026-09-08T19:47:00Z</dcterms:created>
  <dcterms:modified xsi:type="dcterms:W3CDTF">2026-09-08T19:52:00Z</dcterms:modified>
</cp:coreProperties>
</file>