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C92E3" w14:textId="77777777" w:rsidR="00D00C7E" w:rsidRPr="00D00C7E" w:rsidRDefault="00D00C7E" w:rsidP="00D00C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0C7E">
        <w:rPr>
          <w:rFonts w:ascii="Times New Roman" w:eastAsia="Times New Roman" w:hAnsi="Times New Roman" w:cs="Times New Roman"/>
          <w:b/>
          <w:bCs/>
          <w:kern w:val="36"/>
          <w:sz w:val="48"/>
          <w:szCs w:val="48"/>
          <w14:ligatures w14:val="none"/>
        </w:rPr>
        <w:t>The Whitfield Museum of Fashion — Complete Reference</w:t>
      </w:r>
    </w:p>
    <w:p w14:paraId="3CCBBF18"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i/>
          <w:iCs/>
          <w:kern w:val="0"/>
          <w14:ligatures w14:val="none"/>
        </w:rPr>
        <w:t xml:space="preserve">Wing 9 of the Obsidian-Vanguard Estate. Part A is existing canon, presented in full. Part B is a proposed detailed build-out — canon establishes the wing's purpose, backstory, and major components, but never breaks the 120,000 sq ft down into an actual room-by-room floor plan. Part B fills that gap. Not yet folded into </w:t>
      </w:r>
      <w:r w:rsidRPr="00D00C7E">
        <w:rPr>
          <w:rFonts w:ascii="Courier New" w:eastAsia="Times New Roman" w:hAnsi="Courier New" w:cs="Courier New"/>
          <w:i/>
          <w:iCs/>
          <w:kern w:val="0"/>
          <w:sz w:val="20"/>
          <w:szCs w:val="20"/>
          <w14:ligatures w14:val="none"/>
        </w:rPr>
        <w:t>estate-master-plan.md</w:t>
      </w:r>
      <w:r w:rsidRPr="00D00C7E">
        <w:rPr>
          <w:rFonts w:ascii="Times New Roman" w:eastAsia="Times New Roman" w:hAnsi="Times New Roman" w:cs="Times New Roman"/>
          <w:i/>
          <w:iCs/>
          <w:kern w:val="0"/>
          <w14:ligatures w14:val="none"/>
        </w:rPr>
        <w:t>; flag anything you want changed before I lock it in.</w:t>
      </w:r>
    </w:p>
    <w:p w14:paraId="6F6ED122"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pict w14:anchorId="299855FC">
          <v:rect id="_x0000_i1025" style="width:0;height:1.5pt" o:hralign="center" o:hrstd="t" o:hr="t" fillcolor="#a0a0a0" stroked="f"/>
        </w:pict>
      </w:r>
    </w:p>
    <w:p w14:paraId="095A0841" w14:textId="77777777" w:rsidR="00D00C7E" w:rsidRPr="00D00C7E" w:rsidRDefault="00D00C7E" w:rsidP="00D00C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0C7E">
        <w:rPr>
          <w:rFonts w:ascii="Times New Roman" w:eastAsia="Times New Roman" w:hAnsi="Times New Roman" w:cs="Times New Roman"/>
          <w:b/>
          <w:bCs/>
          <w:kern w:val="36"/>
          <w:sz w:val="48"/>
          <w:szCs w:val="48"/>
          <w14:ligatures w14:val="none"/>
        </w:rPr>
        <w:t>PART A — Existing Canon (in full)</w:t>
      </w:r>
    </w:p>
    <w:p w14:paraId="5DFB65AD" w14:textId="77777777" w:rsidR="00D00C7E" w:rsidRPr="00D00C7E" w:rsidRDefault="00D00C7E" w:rsidP="00D00C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0C7E">
        <w:rPr>
          <w:rFonts w:ascii="Times New Roman" w:eastAsia="Times New Roman" w:hAnsi="Times New Roman" w:cs="Times New Roman"/>
          <w:b/>
          <w:bCs/>
          <w:kern w:val="0"/>
          <w:sz w:val="36"/>
          <w:szCs w:val="36"/>
          <w14:ligatures w14:val="none"/>
        </w:rPr>
        <w:t xml:space="preserve">From </w:t>
      </w:r>
      <w:r w:rsidRPr="00D00C7E">
        <w:rPr>
          <w:rFonts w:ascii="Courier New" w:eastAsia="Times New Roman" w:hAnsi="Courier New" w:cs="Courier New"/>
          <w:b/>
          <w:bCs/>
          <w:kern w:val="0"/>
          <w:sz w:val="20"/>
          <w:szCs w:val="20"/>
          <w14:ligatures w14:val="none"/>
        </w:rPr>
        <w:t>estate-master-plan.md</w:t>
      </w:r>
      <w:r w:rsidRPr="00D00C7E">
        <w:rPr>
          <w:rFonts w:ascii="Times New Roman" w:eastAsia="Times New Roman" w:hAnsi="Times New Roman" w:cs="Times New Roman"/>
          <w:b/>
          <w:bCs/>
          <w:kern w:val="0"/>
          <w:sz w:val="36"/>
          <w:szCs w:val="36"/>
          <w14:ligatures w14:val="none"/>
        </w:rPr>
        <w:t>, Wing 9</w:t>
      </w:r>
    </w:p>
    <w:p w14:paraId="1078834E"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b/>
          <w:bCs/>
          <w:kern w:val="0"/>
          <w14:ligatures w14:val="none"/>
        </w:rPr>
        <w:t>The Whitfield Museum of Fashion — the Fashion Museum Wing (~120,000 sq ft)</w:t>
      </w:r>
    </w:p>
    <w:p w14:paraId="7A51F890"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A former anchor store of the original mall, positioned at the opposite end of the structure from the other repurposed anchors — consistent with how real mall anchors are spaced, rather than clustered near the residential core. Reached from the main house via the interior transit system (golf cart paths, private elevators) and, at the sub-grade level, directly connected to the Deep Archive.</w:t>
      </w:r>
    </w:p>
    <w:p w14:paraId="35B9931D"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b/>
          <w:bCs/>
          <w:kern w:val="0"/>
          <w14:ligatures w14:val="none"/>
        </w:rPr>
        <w:t>Backstory/naming convention:</w:t>
      </w:r>
      <w:r w:rsidRPr="00D00C7E">
        <w:rPr>
          <w:rFonts w:ascii="Times New Roman" w:eastAsia="Times New Roman" w:hAnsi="Times New Roman" w:cs="Times New Roman"/>
          <w:kern w:val="0"/>
          <w14:ligatures w14:val="none"/>
        </w:rPr>
        <w:t xml:space="preserve"> this space was originally home to Maison Verrier, a real, publicly known luxury/couture retail tenant — the store itself is long gone, but the household deliberately preserved the connection: the museum bears Jim's own family name, the Whitfield Museum of Fashion, while the building's history as the former Maison Verrier flagship gives the location genuine outside prestige and legacy weight it wouldn't have as a purely private vanity project built from nothing.</w:t>
      </w:r>
    </w:p>
    <w:p w14:paraId="2B4DA178"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b/>
          <w:bCs/>
          <w:kern w:val="0"/>
          <w14:ligatures w14:val="none"/>
        </w:rPr>
        <w:t>The Exhibit Halls:</w:t>
      </w:r>
      <w:r w:rsidRPr="00D00C7E">
        <w:rPr>
          <w:rFonts w:ascii="Times New Roman" w:eastAsia="Times New Roman" w:hAnsi="Times New Roman" w:cs="Times New Roman"/>
          <w:kern w:val="0"/>
          <w14:ligatures w14:val="none"/>
        </w:rPr>
        <w:t xml:space="preserve"> A series of individually walled, modular gallery spaces rather than one undivided hall — halls can be combined for a major retrospective or partitioned down for a small, focused exhibit, without needing structural changes between shows. Collection focus is predominantly women's couture: both historically significant archival pieces and contemporary, "of-the-moment" runway pieces, allowing the museum's public-facing identity to feel current rather than purely retrospective.</w:t>
      </w:r>
    </w:p>
    <w:p w14:paraId="5C383B94"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b/>
          <w:bCs/>
          <w:kern w:val="0"/>
          <w14:ligatures w14:val="none"/>
        </w:rPr>
        <w:t>Special Storage &amp; Conservation Level:</w:t>
      </w:r>
      <w:r w:rsidRPr="00D00C7E">
        <w:rPr>
          <w:rFonts w:ascii="Times New Roman" w:eastAsia="Times New Roman" w:hAnsi="Times New Roman" w:cs="Times New Roman"/>
          <w:kern w:val="0"/>
          <w14:ligatures w14:val="none"/>
        </w:rPr>
        <w:t xml:space="preserve"> A dedicated sub-grade level, distinct from the Deep Archive proper, functioning as the museum's own staging and active-conservation space — pieces currently on rotation for exhibit live here, pulled up from the Deep Archive as needed via the shared underground connection, rather than the Archive itself doubling as gallery-prep space.</w:t>
      </w:r>
    </w:p>
    <w:p w14:paraId="74528570"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b/>
          <w:bCs/>
          <w:kern w:val="0"/>
          <w14:ligatures w14:val="none"/>
        </w:rPr>
        <w:lastRenderedPageBreak/>
        <w:t>Reception &amp; Event Capacity:</w:t>
      </w:r>
      <w:r w:rsidRPr="00D00C7E">
        <w:rPr>
          <w:rFonts w:ascii="Times New Roman" w:eastAsia="Times New Roman" w:hAnsi="Times New Roman" w:cs="Times New Roman"/>
          <w:kern w:val="0"/>
          <w14:ligatures w14:val="none"/>
        </w:rPr>
        <w:t xml:space="preserve"> The museum includes its own reception and gathering space, capable of comfortably hosting guests — but it is deliberately not a substitute for the estate's existing </w:t>
      </w:r>
      <w:proofErr w:type="gramStart"/>
      <w:r w:rsidRPr="00D00C7E">
        <w:rPr>
          <w:rFonts w:ascii="Times New Roman" w:eastAsia="Times New Roman" w:hAnsi="Times New Roman" w:cs="Times New Roman"/>
          <w:kern w:val="0"/>
          <w14:ligatures w14:val="none"/>
        </w:rPr>
        <w:t>entertaining</w:t>
      </w:r>
      <w:proofErr w:type="gramEnd"/>
      <w:r w:rsidRPr="00D00C7E">
        <w:rPr>
          <w:rFonts w:ascii="Times New Roman" w:eastAsia="Times New Roman" w:hAnsi="Times New Roman" w:cs="Times New Roman"/>
          <w:kern w:val="0"/>
          <w14:ligatures w14:val="none"/>
        </w:rPr>
        <w:t xml:space="preserve"> spaces (the Great Gathering Hall, the formal banquet hall). The museum is never simply "open" the way the rest of the house is — it has no standing hours and no independent existence as a hosting venue. If it's open, it's because it's part of an actual event: a business visit, a conference, a fashion-industry function, a gala. Only family members or designated security/event staff, using biometric access, can unlock and open the space at all — but once opened for an event, ordinary guests move through and experience it freely, the way they would any other venue. Catering and hospitality for a museum event are folded entirely into that event's own logistics (the Epicurean Kitchen staff deployed for the occasion, or outside event catering) rather than the museum maintaining any standing catering capability of its own. The museum's own event staff coordinate guest flow and gallery security for the occasion's duration, separate from the museum's day-to-day conservation and curatorial staff.</w:t>
      </w:r>
    </w:p>
    <w:p w14:paraId="1CD61060" w14:textId="77777777" w:rsidR="00D00C7E" w:rsidRPr="00D00C7E" w:rsidRDefault="00D00C7E" w:rsidP="00D00C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0C7E">
        <w:rPr>
          <w:rFonts w:ascii="Times New Roman" w:eastAsia="Times New Roman" w:hAnsi="Times New Roman" w:cs="Times New Roman"/>
          <w:b/>
          <w:bCs/>
          <w:kern w:val="0"/>
          <w:sz w:val="36"/>
          <w:szCs w:val="36"/>
          <w14:ligatures w14:val="none"/>
        </w:rPr>
        <w:t xml:space="preserve">From </w:t>
      </w:r>
      <w:r w:rsidRPr="00D00C7E">
        <w:rPr>
          <w:rFonts w:ascii="Courier New" w:eastAsia="Times New Roman" w:hAnsi="Courier New" w:cs="Courier New"/>
          <w:b/>
          <w:bCs/>
          <w:kern w:val="0"/>
          <w:sz w:val="20"/>
          <w:szCs w:val="20"/>
          <w14:ligatures w14:val="none"/>
        </w:rPr>
        <w:t>estate-master-plan.md</w:t>
      </w:r>
      <w:r w:rsidRPr="00D00C7E">
        <w:rPr>
          <w:rFonts w:ascii="Times New Roman" w:eastAsia="Times New Roman" w:hAnsi="Times New Roman" w:cs="Times New Roman"/>
          <w:b/>
          <w:bCs/>
          <w:kern w:val="0"/>
          <w:sz w:val="36"/>
          <w:szCs w:val="36"/>
          <w14:ligatures w14:val="none"/>
        </w:rPr>
        <w:t>, Deep Archive entry</w:t>
      </w:r>
    </w:p>
    <w:p w14:paraId="5B3F01EC"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The Deep Archive connects underground to both the main house and, "directly to that wing's own climate-controlled special-storage level — making the Deep Archive the shared spine that feeds the everyday wardrobe and later seeds the museum's exhibits, rather than three </w:t>
      </w:r>
      <w:proofErr w:type="gramStart"/>
      <w:r w:rsidRPr="00D00C7E">
        <w:rPr>
          <w:rFonts w:ascii="Times New Roman" w:eastAsia="Times New Roman" w:hAnsi="Times New Roman" w:cs="Times New Roman"/>
          <w:kern w:val="0"/>
          <w14:ligatures w14:val="none"/>
        </w:rPr>
        <w:t>separate</w:t>
      </w:r>
      <w:proofErr w:type="gramEnd"/>
      <w:r w:rsidRPr="00D00C7E">
        <w:rPr>
          <w:rFonts w:ascii="Times New Roman" w:eastAsia="Times New Roman" w:hAnsi="Times New Roman" w:cs="Times New Roman"/>
          <w:kern w:val="0"/>
          <w14:ligatures w14:val="none"/>
        </w:rPr>
        <w:t>, disconnected collections."</w:t>
      </w:r>
    </w:p>
    <w:p w14:paraId="1B39ACC7" w14:textId="77777777" w:rsidR="00D00C7E" w:rsidRPr="00D00C7E" w:rsidRDefault="00D00C7E" w:rsidP="00D00C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0C7E">
        <w:rPr>
          <w:rFonts w:ascii="Times New Roman" w:eastAsia="Times New Roman" w:hAnsi="Times New Roman" w:cs="Times New Roman"/>
          <w:b/>
          <w:bCs/>
          <w:kern w:val="0"/>
          <w:sz w:val="36"/>
          <w:szCs w:val="36"/>
          <w14:ligatures w14:val="none"/>
        </w:rPr>
        <w:t xml:space="preserve">From </w:t>
      </w:r>
      <w:r w:rsidRPr="00D00C7E">
        <w:rPr>
          <w:rFonts w:ascii="Courier New" w:eastAsia="Times New Roman" w:hAnsi="Courier New" w:cs="Courier New"/>
          <w:b/>
          <w:bCs/>
          <w:kern w:val="0"/>
          <w:sz w:val="20"/>
          <w:szCs w:val="20"/>
          <w14:ligatures w14:val="none"/>
        </w:rPr>
        <w:t>estate-master-plan.md</w:t>
      </w:r>
      <w:r w:rsidRPr="00D00C7E">
        <w:rPr>
          <w:rFonts w:ascii="Times New Roman" w:eastAsia="Times New Roman" w:hAnsi="Times New Roman" w:cs="Times New Roman"/>
          <w:b/>
          <w:bCs/>
          <w:kern w:val="0"/>
          <w:sz w:val="36"/>
          <w:szCs w:val="36"/>
          <w14:ligatures w14:val="none"/>
        </w:rPr>
        <w:t>, Footwear Vault entry</w:t>
      </w:r>
    </w:p>
    <w:p w14:paraId="0EA6134E"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"Later in a story, once the museum wing is established and operational, the collection (or the </w:t>
      </w:r>
      <w:proofErr w:type="gramStart"/>
      <w:r w:rsidRPr="00D00C7E">
        <w:rPr>
          <w:rFonts w:ascii="Times New Roman" w:eastAsia="Times New Roman" w:hAnsi="Times New Roman" w:cs="Times New Roman"/>
          <w:kern w:val="0"/>
          <w14:ligatures w14:val="none"/>
        </w:rPr>
        <w:t>pieces</w:t>
      </w:r>
      <w:proofErr w:type="gramEnd"/>
      <w:r w:rsidRPr="00D00C7E">
        <w:rPr>
          <w:rFonts w:ascii="Times New Roman" w:eastAsia="Times New Roman" w:hAnsi="Times New Roman" w:cs="Times New Roman"/>
          <w:kern w:val="0"/>
          <w14:ligatures w14:val="none"/>
        </w:rPr>
        <w:t xml:space="preserve"> most suited to display) migrates to the museum's own secure exhibit space, under dedicated Museum Security rather than general household security — real guards, real display-case-grade security measures, appropriate to objects this valuable being shown, even in a controlled, invitation-only context. Ownership overrides preciousness: the anchor owns every piece outright, regardless of where it's currently housed or its valuation — if the anchor wants to wear a $19.9M pair of shoes to dinner, she wears them."</w:t>
      </w:r>
    </w:p>
    <w:p w14:paraId="143F55FB" w14:textId="77777777" w:rsidR="00D00C7E" w:rsidRPr="00D00C7E" w:rsidRDefault="00D00C7E" w:rsidP="00D00C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0C7E">
        <w:rPr>
          <w:rFonts w:ascii="Times New Roman" w:eastAsia="Times New Roman" w:hAnsi="Times New Roman" w:cs="Times New Roman"/>
          <w:b/>
          <w:bCs/>
          <w:kern w:val="0"/>
          <w:sz w:val="36"/>
          <w:szCs w:val="36"/>
          <w14:ligatures w14:val="none"/>
        </w:rPr>
        <w:t xml:space="preserve">From </w:t>
      </w:r>
      <w:r w:rsidRPr="00D00C7E">
        <w:rPr>
          <w:rFonts w:ascii="Courier New" w:eastAsia="Times New Roman" w:hAnsi="Courier New" w:cs="Courier New"/>
          <w:b/>
          <w:bCs/>
          <w:kern w:val="0"/>
          <w:sz w:val="20"/>
          <w:szCs w:val="20"/>
          <w14:ligatures w14:val="none"/>
        </w:rPr>
        <w:t>estate-staffing-plan.md</w:t>
      </w:r>
    </w:p>
    <w:p w14:paraId="5CD22BF7"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b/>
          <w:bCs/>
          <w:kern w:val="0"/>
          <w14:ligatures w14:val="none"/>
        </w:rPr>
        <w:t>Full museum staffing table</w:t>
      </w:r>
      <w:r w:rsidRPr="00D00C7E">
        <w:rPr>
          <w:rFonts w:ascii="Times New Roman" w:eastAsia="Times New Roman" w:hAnsi="Times New Roman" w:cs="Times New Roman"/>
          <w:kern w:val="0"/>
          <w14:ligatures w14:val="none"/>
        </w:rPr>
        <w:t xml:space="preserve"> — applies only in stories where the wing is active: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701"/>
        <w:gridCol w:w="1326"/>
        <w:gridCol w:w="5017"/>
      </w:tblGrid>
      <w:tr w:rsidR="00D00C7E" w:rsidRPr="00D00C7E" w14:paraId="53EE4493" w14:textId="77777777">
        <w:trPr>
          <w:tblHeader/>
          <w:tblCellSpacing w:w="15" w:type="dxa"/>
        </w:trPr>
        <w:tc>
          <w:tcPr>
            <w:tcW w:w="0" w:type="auto"/>
            <w:vAlign w:val="center"/>
            <w:hideMark/>
          </w:tcPr>
          <w:p w14:paraId="05ED7BE6" w14:textId="77777777" w:rsidR="00D00C7E" w:rsidRPr="00D00C7E" w:rsidRDefault="00D00C7E" w:rsidP="00D00C7E">
            <w:pPr>
              <w:spacing w:after="0" w:line="240" w:lineRule="auto"/>
              <w:jc w:val="center"/>
              <w:rPr>
                <w:rFonts w:ascii="Times New Roman" w:eastAsia="Times New Roman" w:hAnsi="Times New Roman" w:cs="Times New Roman"/>
                <w:b/>
                <w:bCs/>
                <w:kern w:val="0"/>
                <w14:ligatures w14:val="none"/>
              </w:rPr>
            </w:pPr>
            <w:r w:rsidRPr="00D00C7E">
              <w:rPr>
                <w:rFonts w:ascii="Times New Roman" w:eastAsia="Times New Roman" w:hAnsi="Times New Roman" w:cs="Times New Roman"/>
                <w:b/>
                <w:bCs/>
                <w:kern w:val="0"/>
                <w14:ligatures w14:val="none"/>
              </w:rPr>
              <w:t>Role</w:t>
            </w:r>
          </w:p>
        </w:tc>
        <w:tc>
          <w:tcPr>
            <w:tcW w:w="0" w:type="auto"/>
            <w:vAlign w:val="center"/>
            <w:hideMark/>
          </w:tcPr>
          <w:p w14:paraId="02B6DFE1" w14:textId="77777777" w:rsidR="00D00C7E" w:rsidRPr="00D00C7E" w:rsidRDefault="00D00C7E" w:rsidP="00D00C7E">
            <w:pPr>
              <w:spacing w:after="0" w:line="240" w:lineRule="auto"/>
              <w:jc w:val="center"/>
              <w:rPr>
                <w:rFonts w:ascii="Times New Roman" w:eastAsia="Times New Roman" w:hAnsi="Times New Roman" w:cs="Times New Roman"/>
                <w:b/>
                <w:bCs/>
                <w:kern w:val="0"/>
                <w14:ligatures w14:val="none"/>
              </w:rPr>
            </w:pPr>
            <w:r w:rsidRPr="00D00C7E">
              <w:rPr>
                <w:rFonts w:ascii="Times New Roman" w:eastAsia="Times New Roman" w:hAnsi="Times New Roman" w:cs="Times New Roman"/>
                <w:b/>
                <w:bCs/>
                <w:kern w:val="0"/>
                <w14:ligatures w14:val="none"/>
              </w:rPr>
              <w:t>Count</w:t>
            </w:r>
          </w:p>
        </w:tc>
        <w:tc>
          <w:tcPr>
            <w:tcW w:w="0" w:type="auto"/>
            <w:vAlign w:val="center"/>
            <w:hideMark/>
          </w:tcPr>
          <w:p w14:paraId="3CB76C7E" w14:textId="77777777" w:rsidR="00D00C7E" w:rsidRPr="00D00C7E" w:rsidRDefault="00D00C7E" w:rsidP="00D00C7E">
            <w:pPr>
              <w:spacing w:after="0" w:line="240" w:lineRule="auto"/>
              <w:jc w:val="center"/>
              <w:rPr>
                <w:rFonts w:ascii="Times New Roman" w:eastAsia="Times New Roman" w:hAnsi="Times New Roman" w:cs="Times New Roman"/>
                <w:b/>
                <w:bCs/>
                <w:kern w:val="0"/>
                <w14:ligatures w14:val="none"/>
              </w:rPr>
            </w:pPr>
            <w:r w:rsidRPr="00D00C7E">
              <w:rPr>
                <w:rFonts w:ascii="Times New Roman" w:eastAsia="Times New Roman" w:hAnsi="Times New Roman" w:cs="Times New Roman"/>
                <w:b/>
                <w:bCs/>
                <w:kern w:val="0"/>
                <w14:ligatures w14:val="none"/>
              </w:rPr>
              <w:t>Salary Range</w:t>
            </w:r>
          </w:p>
        </w:tc>
        <w:tc>
          <w:tcPr>
            <w:tcW w:w="0" w:type="auto"/>
            <w:vAlign w:val="center"/>
            <w:hideMark/>
          </w:tcPr>
          <w:p w14:paraId="63C9E8A1" w14:textId="77777777" w:rsidR="00D00C7E" w:rsidRPr="00D00C7E" w:rsidRDefault="00D00C7E" w:rsidP="00D00C7E">
            <w:pPr>
              <w:spacing w:after="0" w:line="240" w:lineRule="auto"/>
              <w:jc w:val="center"/>
              <w:rPr>
                <w:rFonts w:ascii="Times New Roman" w:eastAsia="Times New Roman" w:hAnsi="Times New Roman" w:cs="Times New Roman"/>
                <w:b/>
                <w:bCs/>
                <w:kern w:val="0"/>
                <w14:ligatures w14:val="none"/>
              </w:rPr>
            </w:pPr>
            <w:r w:rsidRPr="00D00C7E">
              <w:rPr>
                <w:rFonts w:ascii="Times New Roman" w:eastAsia="Times New Roman" w:hAnsi="Times New Roman" w:cs="Times New Roman"/>
                <w:b/>
                <w:bCs/>
                <w:kern w:val="0"/>
                <w14:ligatures w14:val="none"/>
              </w:rPr>
              <w:t>Benefits</w:t>
            </w:r>
          </w:p>
        </w:tc>
      </w:tr>
      <w:tr w:rsidR="00D00C7E" w:rsidRPr="00D00C7E" w14:paraId="5CFF4DDA" w14:textId="77777777">
        <w:trPr>
          <w:tblCellSpacing w:w="15" w:type="dxa"/>
        </w:trPr>
        <w:tc>
          <w:tcPr>
            <w:tcW w:w="0" w:type="auto"/>
            <w:vAlign w:val="center"/>
            <w:hideMark/>
          </w:tcPr>
          <w:p w14:paraId="76C99E4E"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Museum Director</w:t>
            </w:r>
          </w:p>
        </w:tc>
        <w:tc>
          <w:tcPr>
            <w:tcW w:w="0" w:type="auto"/>
            <w:vAlign w:val="center"/>
            <w:hideMark/>
          </w:tcPr>
          <w:p w14:paraId="2FCB0D8C"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w:t>
            </w:r>
          </w:p>
        </w:tc>
        <w:tc>
          <w:tcPr>
            <w:tcW w:w="0" w:type="auto"/>
            <w:vAlign w:val="center"/>
            <w:hideMark/>
          </w:tcPr>
          <w:p w14:paraId="1BD38D67"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$150,000–$220,000</w:t>
            </w:r>
          </w:p>
        </w:tc>
        <w:tc>
          <w:tcPr>
            <w:tcW w:w="0" w:type="auto"/>
            <w:vAlign w:val="center"/>
            <w:hideMark/>
          </w:tcPr>
          <w:p w14:paraId="1DE45E38"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Full benefits, bonus 10–15%. </w:t>
            </w:r>
            <w:proofErr w:type="gramStart"/>
            <w:r w:rsidRPr="00D00C7E">
              <w:rPr>
                <w:rFonts w:ascii="Times New Roman" w:eastAsia="Times New Roman" w:hAnsi="Times New Roman" w:cs="Times New Roman"/>
                <w:kern w:val="0"/>
                <w14:ligatures w14:val="none"/>
              </w:rPr>
              <w:t>Oversees</w:t>
            </w:r>
            <w:proofErr w:type="gramEnd"/>
            <w:r w:rsidRPr="00D00C7E">
              <w:rPr>
                <w:rFonts w:ascii="Times New Roman" w:eastAsia="Times New Roman" w:hAnsi="Times New Roman" w:cs="Times New Roman"/>
                <w:kern w:val="0"/>
                <w14:ligatures w14:val="none"/>
              </w:rPr>
              <w:t xml:space="preserve"> curatorial vision, acquisitions strategy, public-facing identity.</w:t>
            </w:r>
          </w:p>
        </w:tc>
      </w:tr>
      <w:tr w:rsidR="00D00C7E" w:rsidRPr="00D00C7E" w14:paraId="43465666" w14:textId="77777777">
        <w:trPr>
          <w:tblCellSpacing w:w="15" w:type="dxa"/>
        </w:trPr>
        <w:tc>
          <w:tcPr>
            <w:tcW w:w="0" w:type="auto"/>
            <w:vAlign w:val="center"/>
            <w:hideMark/>
          </w:tcPr>
          <w:p w14:paraId="495A9749"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Head Curator</w:t>
            </w:r>
          </w:p>
        </w:tc>
        <w:tc>
          <w:tcPr>
            <w:tcW w:w="0" w:type="auto"/>
            <w:vAlign w:val="center"/>
            <w:hideMark/>
          </w:tcPr>
          <w:p w14:paraId="336AA55C"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w:t>
            </w:r>
          </w:p>
        </w:tc>
        <w:tc>
          <w:tcPr>
            <w:tcW w:w="0" w:type="auto"/>
            <w:vAlign w:val="center"/>
            <w:hideMark/>
          </w:tcPr>
          <w:p w14:paraId="1D568C19"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$110,000–$160,000</w:t>
            </w:r>
          </w:p>
        </w:tc>
        <w:tc>
          <w:tcPr>
            <w:tcW w:w="0" w:type="auto"/>
            <w:vAlign w:val="center"/>
            <w:hideMark/>
          </w:tcPr>
          <w:p w14:paraId="1C494E1C"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Full benefits. Leads exhibit design and collection interpretation.</w:t>
            </w:r>
          </w:p>
        </w:tc>
      </w:tr>
      <w:tr w:rsidR="00D00C7E" w:rsidRPr="00D00C7E" w14:paraId="3D2B3711" w14:textId="77777777">
        <w:trPr>
          <w:tblCellSpacing w:w="15" w:type="dxa"/>
        </w:trPr>
        <w:tc>
          <w:tcPr>
            <w:tcW w:w="0" w:type="auto"/>
            <w:vAlign w:val="center"/>
            <w:hideMark/>
          </w:tcPr>
          <w:p w14:paraId="7C6D52CE"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Assistant Curator(s)</w:t>
            </w:r>
          </w:p>
        </w:tc>
        <w:tc>
          <w:tcPr>
            <w:tcW w:w="0" w:type="auto"/>
            <w:vAlign w:val="center"/>
            <w:hideMark/>
          </w:tcPr>
          <w:p w14:paraId="090E9B2E"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2</w:t>
            </w:r>
          </w:p>
        </w:tc>
        <w:tc>
          <w:tcPr>
            <w:tcW w:w="0" w:type="auto"/>
            <w:vAlign w:val="center"/>
            <w:hideMark/>
          </w:tcPr>
          <w:p w14:paraId="1063EE62"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$65,000–$90,000</w:t>
            </w:r>
          </w:p>
        </w:tc>
        <w:tc>
          <w:tcPr>
            <w:tcW w:w="0" w:type="auto"/>
            <w:vAlign w:val="center"/>
            <w:hideMark/>
          </w:tcPr>
          <w:p w14:paraId="64BCE1B1"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Full benefits.</w:t>
            </w:r>
          </w:p>
        </w:tc>
      </w:tr>
      <w:tr w:rsidR="00D00C7E" w:rsidRPr="00D00C7E" w14:paraId="745ACCF5" w14:textId="77777777">
        <w:trPr>
          <w:tblCellSpacing w:w="15" w:type="dxa"/>
        </w:trPr>
        <w:tc>
          <w:tcPr>
            <w:tcW w:w="0" w:type="auto"/>
            <w:vAlign w:val="center"/>
            <w:hideMark/>
          </w:tcPr>
          <w:p w14:paraId="3DEC5301"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lastRenderedPageBreak/>
              <w:t>Registrar / Collections Manager</w:t>
            </w:r>
          </w:p>
        </w:tc>
        <w:tc>
          <w:tcPr>
            <w:tcW w:w="0" w:type="auto"/>
            <w:vAlign w:val="center"/>
            <w:hideMark/>
          </w:tcPr>
          <w:p w14:paraId="2E39204F"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w:t>
            </w:r>
          </w:p>
        </w:tc>
        <w:tc>
          <w:tcPr>
            <w:tcW w:w="0" w:type="auto"/>
            <w:vAlign w:val="center"/>
            <w:hideMark/>
          </w:tcPr>
          <w:p w14:paraId="60995375"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$70,000–$95,000</w:t>
            </w:r>
          </w:p>
        </w:tc>
        <w:tc>
          <w:tcPr>
            <w:tcW w:w="0" w:type="auto"/>
            <w:vAlign w:val="center"/>
            <w:hideMark/>
          </w:tcPr>
          <w:p w14:paraId="7523AAC2"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Full benefits. Tracks provenance, condition, loan agreements; coordinates with WIS for pieces moving between the Deep Archive and active exhibit.</w:t>
            </w:r>
          </w:p>
        </w:tc>
      </w:tr>
      <w:tr w:rsidR="00D00C7E" w:rsidRPr="00D00C7E" w14:paraId="6813C6AB" w14:textId="77777777">
        <w:trPr>
          <w:tblCellSpacing w:w="15" w:type="dxa"/>
        </w:trPr>
        <w:tc>
          <w:tcPr>
            <w:tcW w:w="0" w:type="auto"/>
            <w:vAlign w:val="center"/>
            <w:hideMark/>
          </w:tcPr>
          <w:p w14:paraId="5A75D634"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Textile Conservator(s)</w:t>
            </w:r>
          </w:p>
        </w:tc>
        <w:tc>
          <w:tcPr>
            <w:tcW w:w="0" w:type="auto"/>
            <w:vAlign w:val="center"/>
            <w:hideMark/>
          </w:tcPr>
          <w:p w14:paraId="75A764D3"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2</w:t>
            </w:r>
          </w:p>
        </w:tc>
        <w:tc>
          <w:tcPr>
            <w:tcW w:w="0" w:type="auto"/>
            <w:vAlign w:val="center"/>
            <w:hideMark/>
          </w:tcPr>
          <w:p w14:paraId="31D3EDFC"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$75,000–$110,000</w:t>
            </w:r>
          </w:p>
        </w:tc>
        <w:tc>
          <w:tcPr>
            <w:tcW w:w="0" w:type="auto"/>
            <w:vAlign w:val="center"/>
            <w:hideMark/>
          </w:tcPr>
          <w:p w14:paraId="2A5DB5CA"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Full benefits. Couture-grade textile, beadwork, embellishment conservation — distinct from general wardrobe maintenance.</w:t>
            </w:r>
          </w:p>
        </w:tc>
      </w:tr>
      <w:tr w:rsidR="00D00C7E" w:rsidRPr="00D00C7E" w14:paraId="3FF346D4" w14:textId="77777777">
        <w:trPr>
          <w:tblCellSpacing w:w="15" w:type="dxa"/>
        </w:trPr>
        <w:tc>
          <w:tcPr>
            <w:tcW w:w="0" w:type="auto"/>
            <w:vAlign w:val="center"/>
            <w:hideMark/>
          </w:tcPr>
          <w:p w14:paraId="59B9887A"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Acquisitions / Provenance Specialist</w:t>
            </w:r>
          </w:p>
        </w:tc>
        <w:tc>
          <w:tcPr>
            <w:tcW w:w="0" w:type="auto"/>
            <w:vAlign w:val="center"/>
            <w:hideMark/>
          </w:tcPr>
          <w:p w14:paraId="3DB5A1E9"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w:t>
            </w:r>
          </w:p>
        </w:tc>
        <w:tc>
          <w:tcPr>
            <w:tcW w:w="0" w:type="auto"/>
            <w:vAlign w:val="center"/>
            <w:hideMark/>
          </w:tcPr>
          <w:p w14:paraId="7C114F91"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$85,000–$120,000</w:t>
            </w:r>
          </w:p>
        </w:tc>
        <w:tc>
          <w:tcPr>
            <w:tcW w:w="0" w:type="auto"/>
            <w:vAlign w:val="center"/>
            <w:hideMark/>
          </w:tcPr>
          <w:p w14:paraId="3F266B68"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Full benefits. Sources and authenticates new pieces.</w:t>
            </w:r>
          </w:p>
        </w:tc>
      </w:tr>
      <w:tr w:rsidR="00D00C7E" w:rsidRPr="00D00C7E" w14:paraId="1325BDD4" w14:textId="77777777">
        <w:trPr>
          <w:tblCellSpacing w:w="15" w:type="dxa"/>
        </w:trPr>
        <w:tc>
          <w:tcPr>
            <w:tcW w:w="0" w:type="auto"/>
            <w:vAlign w:val="center"/>
            <w:hideMark/>
          </w:tcPr>
          <w:p w14:paraId="72F108E1"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Docents</w:t>
            </w:r>
          </w:p>
        </w:tc>
        <w:tc>
          <w:tcPr>
            <w:tcW w:w="0" w:type="auto"/>
            <w:vAlign w:val="center"/>
            <w:hideMark/>
          </w:tcPr>
          <w:p w14:paraId="23EEA616"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4–6</w:t>
            </w:r>
          </w:p>
        </w:tc>
        <w:tc>
          <w:tcPr>
            <w:tcW w:w="0" w:type="auto"/>
            <w:vAlign w:val="center"/>
            <w:hideMark/>
          </w:tcPr>
          <w:p w14:paraId="156667B2"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$35,000–$50,000</w:t>
            </w:r>
          </w:p>
        </w:tc>
        <w:tc>
          <w:tcPr>
            <w:tcW w:w="0" w:type="auto"/>
            <w:vAlign w:val="center"/>
            <w:hideMark/>
          </w:tcPr>
          <w:p w14:paraId="14A4D901"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Full </w:t>
            </w:r>
            <w:proofErr w:type="gramStart"/>
            <w:r w:rsidRPr="00D00C7E">
              <w:rPr>
                <w:rFonts w:ascii="Times New Roman" w:eastAsia="Times New Roman" w:hAnsi="Times New Roman" w:cs="Times New Roman"/>
                <w:kern w:val="0"/>
                <w14:ligatures w14:val="none"/>
              </w:rPr>
              <w:t>benefits, or</w:t>
            </w:r>
            <w:proofErr w:type="gramEnd"/>
            <w:r w:rsidRPr="00D00C7E">
              <w:rPr>
                <w:rFonts w:ascii="Times New Roman" w:eastAsia="Times New Roman" w:hAnsi="Times New Roman" w:cs="Times New Roman"/>
                <w:kern w:val="0"/>
                <w14:ligatures w14:val="none"/>
              </w:rPr>
              <w:t xml:space="preserve"> contracted per-event.</w:t>
            </w:r>
          </w:p>
        </w:tc>
      </w:tr>
      <w:tr w:rsidR="00D00C7E" w:rsidRPr="00D00C7E" w14:paraId="40AAFB56" w14:textId="77777777">
        <w:trPr>
          <w:tblCellSpacing w:w="15" w:type="dxa"/>
        </w:trPr>
        <w:tc>
          <w:tcPr>
            <w:tcW w:w="0" w:type="auto"/>
            <w:vAlign w:val="center"/>
            <w:hideMark/>
          </w:tcPr>
          <w:p w14:paraId="29F025EA"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Museum Security</w:t>
            </w:r>
          </w:p>
        </w:tc>
        <w:tc>
          <w:tcPr>
            <w:tcW w:w="0" w:type="auto"/>
            <w:vAlign w:val="center"/>
            <w:hideMark/>
          </w:tcPr>
          <w:p w14:paraId="7CEB48D0"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3–4</w:t>
            </w:r>
          </w:p>
        </w:tc>
        <w:tc>
          <w:tcPr>
            <w:tcW w:w="0" w:type="auto"/>
            <w:vAlign w:val="center"/>
            <w:hideMark/>
          </w:tcPr>
          <w:p w14:paraId="6955465A"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$55,000–$75,000</w:t>
            </w:r>
          </w:p>
        </w:tc>
        <w:tc>
          <w:tcPr>
            <w:tcW w:w="0" w:type="auto"/>
            <w:vAlign w:val="center"/>
            <w:hideMark/>
          </w:tcPr>
          <w:p w14:paraId="0778CF07"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Full benefits. Specialized </w:t>
            </w:r>
            <w:proofErr w:type="gramStart"/>
            <w:r w:rsidRPr="00D00C7E">
              <w:rPr>
                <w:rFonts w:ascii="Times New Roman" w:eastAsia="Times New Roman" w:hAnsi="Times New Roman" w:cs="Times New Roman"/>
                <w:kern w:val="0"/>
                <w14:ligatures w14:val="none"/>
              </w:rPr>
              <w:t>fine-art</w:t>
            </w:r>
            <w:proofErr w:type="gramEnd"/>
            <w:r w:rsidRPr="00D00C7E">
              <w:rPr>
                <w:rFonts w:ascii="Times New Roman" w:eastAsia="Times New Roman" w:hAnsi="Times New Roman" w:cs="Times New Roman"/>
                <w:kern w:val="0"/>
                <w14:ligatures w14:val="none"/>
              </w:rPr>
              <w:t>/collection security training, distinct from general estate security.</w:t>
            </w:r>
          </w:p>
        </w:tc>
      </w:tr>
      <w:tr w:rsidR="00D00C7E" w:rsidRPr="00D00C7E" w14:paraId="1CD39F40" w14:textId="77777777">
        <w:trPr>
          <w:tblCellSpacing w:w="15" w:type="dxa"/>
        </w:trPr>
        <w:tc>
          <w:tcPr>
            <w:tcW w:w="0" w:type="auto"/>
            <w:vAlign w:val="center"/>
            <w:hideMark/>
          </w:tcPr>
          <w:p w14:paraId="7A78EA21"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Visitor Services / Front of House Coordinator</w:t>
            </w:r>
          </w:p>
        </w:tc>
        <w:tc>
          <w:tcPr>
            <w:tcW w:w="0" w:type="auto"/>
            <w:vAlign w:val="center"/>
            <w:hideMark/>
          </w:tcPr>
          <w:p w14:paraId="0BBAF6AB"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w:t>
            </w:r>
          </w:p>
        </w:tc>
        <w:tc>
          <w:tcPr>
            <w:tcW w:w="0" w:type="auto"/>
            <w:vAlign w:val="center"/>
            <w:hideMark/>
          </w:tcPr>
          <w:p w14:paraId="1E95A935"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$45,000–$60,000</w:t>
            </w:r>
          </w:p>
        </w:tc>
        <w:tc>
          <w:tcPr>
            <w:tcW w:w="0" w:type="auto"/>
            <w:vAlign w:val="center"/>
            <w:hideMark/>
          </w:tcPr>
          <w:p w14:paraId="6E891ABC"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Full benefits.</w:t>
            </w:r>
          </w:p>
        </w:tc>
      </w:tr>
      <w:tr w:rsidR="00D00C7E" w:rsidRPr="00D00C7E" w14:paraId="0B4B2617" w14:textId="77777777">
        <w:trPr>
          <w:tblCellSpacing w:w="15" w:type="dxa"/>
        </w:trPr>
        <w:tc>
          <w:tcPr>
            <w:tcW w:w="0" w:type="auto"/>
            <w:vAlign w:val="center"/>
            <w:hideMark/>
          </w:tcPr>
          <w:p w14:paraId="7D9124F3"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Event Coordinator (Museum)</w:t>
            </w:r>
          </w:p>
        </w:tc>
        <w:tc>
          <w:tcPr>
            <w:tcW w:w="0" w:type="auto"/>
            <w:vAlign w:val="center"/>
            <w:hideMark/>
          </w:tcPr>
          <w:p w14:paraId="44438227"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w:t>
            </w:r>
          </w:p>
        </w:tc>
        <w:tc>
          <w:tcPr>
            <w:tcW w:w="0" w:type="auto"/>
            <w:vAlign w:val="center"/>
            <w:hideMark/>
          </w:tcPr>
          <w:p w14:paraId="6CE4E004"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$55,000–$75,000</w:t>
            </w:r>
          </w:p>
        </w:tc>
        <w:tc>
          <w:tcPr>
            <w:tcW w:w="0" w:type="auto"/>
            <w:vAlign w:val="center"/>
            <w:hideMark/>
          </w:tcPr>
          <w:p w14:paraId="2372EF18"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Full benefits, plus on-call event staff for gala/business-visit occasions.</w:t>
            </w:r>
          </w:p>
        </w:tc>
      </w:tr>
    </w:tbl>
    <w:p w14:paraId="5D0106F0"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b/>
          <w:bCs/>
          <w:kern w:val="0"/>
          <w14:ligatures w14:val="none"/>
        </w:rPr>
        <w:t>Total: ~16–19 positions.</w:t>
      </w:r>
      <w:r w:rsidRPr="00D00C7E">
        <w:rPr>
          <w:rFonts w:ascii="Times New Roman" w:eastAsia="Times New Roman" w:hAnsi="Times New Roman" w:cs="Times New Roman"/>
          <w:kern w:val="0"/>
          <w14:ligatures w14:val="none"/>
        </w:rPr>
        <w:t xml:space="preserve"> Estimated annual cost: </w:t>
      </w:r>
      <w:r w:rsidRPr="00D00C7E">
        <w:rPr>
          <w:rFonts w:ascii="Times New Roman" w:eastAsia="Times New Roman" w:hAnsi="Times New Roman" w:cs="Times New Roman"/>
          <w:b/>
          <w:bCs/>
          <w:kern w:val="0"/>
          <w14:ligatures w14:val="none"/>
        </w:rPr>
        <w:t>~$1.1M–$1.6M/year</w:t>
      </w:r>
      <w:r w:rsidRPr="00D00C7E">
        <w:rPr>
          <w:rFonts w:ascii="Times New Roman" w:eastAsia="Times New Roman" w:hAnsi="Times New Roman" w:cs="Times New Roman"/>
          <w:kern w:val="0"/>
          <w14:ligatures w14:val="none"/>
        </w:rPr>
        <w:t xml:space="preserve"> in salaries (before benefits load).</w:t>
      </w:r>
    </w:p>
    <w:p w14:paraId="0B740314" w14:textId="77777777" w:rsidR="00D00C7E" w:rsidRPr="00D00C7E" w:rsidRDefault="00D00C7E" w:rsidP="00D00C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0C7E">
        <w:rPr>
          <w:rFonts w:ascii="Times New Roman" w:eastAsia="Times New Roman" w:hAnsi="Times New Roman" w:cs="Times New Roman"/>
          <w:b/>
          <w:bCs/>
          <w:kern w:val="0"/>
          <w:sz w:val="36"/>
          <w:szCs w:val="36"/>
          <w14:ligatures w14:val="none"/>
        </w:rPr>
        <w:t>Cross-references from elsewhere in the skill set</w:t>
      </w:r>
    </w:p>
    <w:p w14:paraId="7CA6BA3A" w14:textId="77777777" w:rsidR="00D00C7E" w:rsidRPr="00D00C7E" w:rsidRDefault="00D00C7E" w:rsidP="00D00C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00C7E">
        <w:rPr>
          <w:rFonts w:ascii="Courier New" w:eastAsia="Times New Roman" w:hAnsi="Courier New" w:cs="Courier New"/>
          <w:kern w:val="0"/>
          <w:sz w:val="20"/>
          <w:szCs w:val="20"/>
          <w14:ligatures w14:val="none"/>
        </w:rPr>
        <w:t>evergreen-gemstone-manifest.md</w:t>
      </w:r>
      <w:proofErr w:type="gramEnd"/>
      <w:r w:rsidRPr="00D00C7E">
        <w:rPr>
          <w:rFonts w:ascii="Times New Roman" w:eastAsia="Times New Roman" w:hAnsi="Times New Roman" w:cs="Times New Roman"/>
          <w:kern w:val="0"/>
          <w14:ligatures w14:val="none"/>
        </w:rPr>
        <w:t>: Genesis Gem Foundry output is explicitly built to "museum-grade fine jewelry" standard, alongside the empire's broader commercial lines — the natural future source of jewelry pieces entering the museum's collection.</w:t>
      </w:r>
    </w:p>
    <w:p w14:paraId="23434A78" w14:textId="77777777" w:rsidR="00D00C7E" w:rsidRPr="00D00C7E" w:rsidRDefault="00D00C7E" w:rsidP="00D00C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Courier New" w:eastAsia="Times New Roman" w:hAnsi="Courier New" w:cs="Courier New"/>
          <w:kern w:val="0"/>
          <w:sz w:val="20"/>
          <w:szCs w:val="20"/>
          <w14:ligatures w14:val="none"/>
        </w:rPr>
        <w:t>jim-story_people-tracker.md</w:t>
      </w:r>
      <w:r w:rsidRPr="00D00C7E">
        <w:rPr>
          <w:rFonts w:ascii="Times New Roman" w:eastAsia="Times New Roman" w:hAnsi="Times New Roman" w:cs="Times New Roman"/>
          <w:kern w:val="0"/>
          <w14:ligatures w14:val="none"/>
        </w:rPr>
        <w:t xml:space="preserve">: confirms the </w:t>
      </w:r>
      <w:proofErr w:type="gramStart"/>
      <w:r w:rsidRPr="00D00C7E">
        <w:rPr>
          <w:rFonts w:ascii="Times New Roman" w:eastAsia="Times New Roman" w:hAnsi="Times New Roman" w:cs="Times New Roman"/>
          <w:kern w:val="0"/>
          <w14:ligatures w14:val="none"/>
        </w:rPr>
        <w:t>naming — "</w:t>
      </w:r>
      <w:proofErr w:type="gramEnd"/>
      <w:r w:rsidRPr="00D00C7E">
        <w:rPr>
          <w:rFonts w:ascii="Times New Roman" w:eastAsia="Times New Roman" w:hAnsi="Times New Roman" w:cs="Times New Roman"/>
          <w:kern w:val="0"/>
          <w14:ligatures w14:val="none"/>
        </w:rPr>
        <w:t xml:space="preserve">Whitfield Museum of </w:t>
      </w:r>
      <w:proofErr w:type="gramStart"/>
      <w:r w:rsidRPr="00D00C7E">
        <w:rPr>
          <w:rFonts w:ascii="Times New Roman" w:eastAsia="Times New Roman" w:hAnsi="Times New Roman" w:cs="Times New Roman"/>
          <w:kern w:val="0"/>
          <w14:ligatures w14:val="none"/>
        </w:rPr>
        <w:t>Fashion" —</w:t>
      </w:r>
      <w:proofErr w:type="gramEnd"/>
      <w:r w:rsidRPr="00D00C7E">
        <w:rPr>
          <w:rFonts w:ascii="Times New Roman" w:eastAsia="Times New Roman" w:hAnsi="Times New Roman" w:cs="Times New Roman"/>
          <w:kern w:val="0"/>
          <w14:ligatures w14:val="none"/>
        </w:rPr>
        <w:t xml:space="preserve"> resolving the master template's bracketed </w:t>
      </w:r>
      <w:r w:rsidRPr="00D00C7E">
        <w:rPr>
          <w:rFonts w:ascii="Courier New" w:eastAsia="Times New Roman" w:hAnsi="Courier New" w:cs="Courier New"/>
          <w:kern w:val="0"/>
          <w:sz w:val="20"/>
          <w:szCs w:val="20"/>
          <w14:ligatures w14:val="none"/>
        </w:rPr>
        <w:t>[Surname]</w:t>
      </w:r>
      <w:r w:rsidRPr="00D00C7E">
        <w:rPr>
          <w:rFonts w:ascii="Times New Roman" w:eastAsia="Times New Roman" w:hAnsi="Times New Roman" w:cs="Times New Roman"/>
          <w:kern w:val="0"/>
          <w14:ligatures w14:val="none"/>
        </w:rPr>
        <w:t xml:space="preserve"> placeholder for this story specifically.</w:t>
      </w:r>
    </w:p>
    <w:p w14:paraId="678C99C2" w14:textId="77777777" w:rsidR="00D00C7E" w:rsidRPr="00D00C7E" w:rsidRDefault="00D00C7E" w:rsidP="00D00C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0C7E">
        <w:rPr>
          <w:rFonts w:ascii="Times New Roman" w:eastAsia="Times New Roman" w:hAnsi="Times New Roman" w:cs="Times New Roman"/>
          <w:b/>
          <w:bCs/>
          <w:kern w:val="0"/>
          <w:sz w:val="36"/>
          <w:szCs w:val="36"/>
          <w14:ligatures w14:val="none"/>
        </w:rPr>
        <w:t>Story-specific detail (from on-page material, not skill canon)</w:t>
      </w:r>
    </w:p>
    <w:p w14:paraId="17F3A236" w14:textId="77777777" w:rsidR="00D00C7E" w:rsidRPr="00D00C7E" w:rsidRDefault="00D00C7E" w:rsidP="00D00C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b/>
          <w:bCs/>
          <w:kern w:val="0"/>
          <w14:ligatures w14:val="none"/>
        </w:rPr>
        <w:t>Travel time established on-page:</w:t>
      </w:r>
      <w:r w:rsidRPr="00D00C7E">
        <w:rPr>
          <w:rFonts w:ascii="Times New Roman" w:eastAsia="Times New Roman" w:hAnsi="Times New Roman" w:cs="Times New Roman"/>
          <w:kern w:val="0"/>
          <w14:ligatures w14:val="none"/>
        </w:rPr>
        <w:t xml:space="preserve"> Sam, in "Silly, Meaningless Things," timed the golf cart trip from the residential wing to the museum wing at </w:t>
      </w:r>
      <w:r w:rsidRPr="00D00C7E">
        <w:rPr>
          <w:rFonts w:ascii="Times New Roman" w:eastAsia="Times New Roman" w:hAnsi="Times New Roman" w:cs="Times New Roman"/>
          <w:b/>
          <w:bCs/>
          <w:kern w:val="0"/>
          <w14:ligatures w14:val="none"/>
        </w:rPr>
        <w:t>eleven minutes</w:t>
      </w:r>
      <w:r w:rsidRPr="00D00C7E">
        <w:rPr>
          <w:rFonts w:ascii="Times New Roman" w:eastAsia="Times New Roman" w:hAnsi="Times New Roman" w:cs="Times New Roman"/>
          <w:kern w:val="0"/>
          <w14:ligatures w14:val="none"/>
        </w:rPr>
        <w:t xml:space="preserve"> — the first concrete on-page confirmation of just how large the estate's interior actually is, played for comic complaint rather than as architectural exposition.</w:t>
      </w:r>
    </w:p>
    <w:p w14:paraId="78A2B952" w14:textId="77777777" w:rsidR="00D00C7E" w:rsidRPr="00D00C7E" w:rsidRDefault="00D00C7E" w:rsidP="00D00C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b/>
          <w:bCs/>
          <w:kern w:val="0"/>
          <w14:ligatures w14:val="none"/>
        </w:rPr>
        <w:t>Foreshadowing, not yet fact:</w:t>
      </w:r>
      <w:r w:rsidRPr="00D00C7E">
        <w:rPr>
          <w:rFonts w:ascii="Times New Roman" w:eastAsia="Times New Roman" w:hAnsi="Times New Roman" w:cs="Times New Roman"/>
          <w:kern w:val="0"/>
          <w14:ligatures w14:val="none"/>
        </w:rPr>
        <w:t xml:space="preserve"> In "Showstopper," seeing the Footwear Vault's ruby-encrusted pair, Priya says: </w:t>
      </w:r>
      <w:r w:rsidRPr="00D00C7E">
        <w:rPr>
          <w:rFonts w:ascii="Times New Roman" w:eastAsia="Times New Roman" w:hAnsi="Times New Roman" w:cs="Times New Roman"/>
          <w:i/>
          <w:iCs/>
          <w:kern w:val="0"/>
          <w14:ligatures w14:val="none"/>
        </w:rPr>
        <w:t xml:space="preserve">"This could be its own wing in the museum. I mean that as the highest compliment I have. This doesn't belong in a closet. It belongs somewhere with a </w:t>
      </w:r>
      <w:r w:rsidRPr="00D00C7E">
        <w:rPr>
          <w:rFonts w:ascii="Times New Roman" w:eastAsia="Times New Roman" w:hAnsi="Times New Roman" w:cs="Times New Roman"/>
          <w:i/>
          <w:iCs/>
          <w:kern w:val="0"/>
          <w14:ligatures w14:val="none"/>
        </w:rPr>
        <w:lastRenderedPageBreak/>
        <w:t>placard."</w:t>
      </w:r>
      <w:r w:rsidRPr="00D00C7E">
        <w:rPr>
          <w:rFonts w:ascii="Times New Roman" w:eastAsia="Times New Roman" w:hAnsi="Times New Roman" w:cs="Times New Roman"/>
          <w:kern w:val="0"/>
          <w14:ligatures w14:val="none"/>
        </w:rPr>
        <w:t xml:space="preserve"> Renata's </w:t>
      </w:r>
      <w:proofErr w:type="gramStart"/>
      <w:r w:rsidRPr="00D00C7E">
        <w:rPr>
          <w:rFonts w:ascii="Times New Roman" w:eastAsia="Times New Roman" w:hAnsi="Times New Roman" w:cs="Times New Roman"/>
          <w:kern w:val="0"/>
          <w14:ligatures w14:val="none"/>
        </w:rPr>
        <w:t>reply — "</w:t>
      </w:r>
      <w:proofErr w:type="gramEnd"/>
      <w:r w:rsidRPr="00D00C7E">
        <w:rPr>
          <w:rFonts w:ascii="Times New Roman" w:eastAsia="Times New Roman" w:hAnsi="Times New Roman" w:cs="Times New Roman"/>
          <w:kern w:val="0"/>
          <w14:ligatures w14:val="none"/>
        </w:rPr>
        <w:t xml:space="preserve">Someday, perhaps... For </w:t>
      </w:r>
      <w:proofErr w:type="gramStart"/>
      <w:r w:rsidRPr="00D00C7E">
        <w:rPr>
          <w:rFonts w:ascii="Times New Roman" w:eastAsia="Times New Roman" w:hAnsi="Times New Roman" w:cs="Times New Roman"/>
          <w:kern w:val="0"/>
          <w14:ligatures w14:val="none"/>
        </w:rPr>
        <w:t>now</w:t>
      </w:r>
      <w:proofErr w:type="gramEnd"/>
      <w:r w:rsidRPr="00D00C7E">
        <w:rPr>
          <w:rFonts w:ascii="Times New Roman" w:eastAsia="Times New Roman" w:hAnsi="Times New Roman" w:cs="Times New Roman"/>
          <w:kern w:val="0"/>
          <w14:ligatures w14:val="none"/>
        </w:rPr>
        <w:t xml:space="preserve"> it belongs exactly where it </w:t>
      </w:r>
      <w:proofErr w:type="gramStart"/>
      <w:r w:rsidRPr="00D00C7E">
        <w:rPr>
          <w:rFonts w:ascii="Times New Roman" w:eastAsia="Times New Roman" w:hAnsi="Times New Roman" w:cs="Times New Roman"/>
          <w:kern w:val="0"/>
          <w14:ligatures w14:val="none"/>
        </w:rPr>
        <w:t>is" —</w:t>
      </w:r>
      <w:proofErr w:type="gramEnd"/>
      <w:r w:rsidRPr="00D00C7E">
        <w:rPr>
          <w:rFonts w:ascii="Times New Roman" w:eastAsia="Times New Roman" w:hAnsi="Times New Roman" w:cs="Times New Roman"/>
          <w:kern w:val="0"/>
          <w14:ligatures w14:val="none"/>
        </w:rPr>
        <w:t xml:space="preserve"> confirms on-page that the vault-to-museum migration described in canon </w:t>
      </w:r>
      <w:r w:rsidRPr="00D00C7E">
        <w:rPr>
          <w:rFonts w:ascii="Times New Roman" w:eastAsia="Times New Roman" w:hAnsi="Times New Roman" w:cs="Times New Roman"/>
          <w:b/>
          <w:bCs/>
          <w:kern w:val="0"/>
          <w14:ligatures w14:val="none"/>
        </w:rPr>
        <w:t>has not happened yet</w:t>
      </w:r>
      <w:r w:rsidRPr="00D00C7E">
        <w:rPr>
          <w:rFonts w:ascii="Times New Roman" w:eastAsia="Times New Roman" w:hAnsi="Times New Roman" w:cs="Times New Roman"/>
          <w:kern w:val="0"/>
          <w14:ligatures w14:val="none"/>
        </w:rPr>
        <w:t xml:space="preserve"> in this story. The museum wing exists architecturally but remains unvisited and </w:t>
      </w:r>
      <w:proofErr w:type="spellStart"/>
      <w:r w:rsidRPr="00D00C7E">
        <w:rPr>
          <w:rFonts w:ascii="Times New Roman" w:eastAsia="Times New Roman" w:hAnsi="Times New Roman" w:cs="Times New Roman"/>
          <w:kern w:val="0"/>
          <w14:ligatures w14:val="none"/>
        </w:rPr>
        <w:t>unactivated</w:t>
      </w:r>
      <w:proofErr w:type="spellEnd"/>
      <w:r w:rsidRPr="00D00C7E">
        <w:rPr>
          <w:rFonts w:ascii="Times New Roman" w:eastAsia="Times New Roman" w:hAnsi="Times New Roman" w:cs="Times New Roman"/>
          <w:kern w:val="0"/>
          <w14:ligatures w14:val="none"/>
        </w:rPr>
        <w:t xml:space="preserve"> as of </w:t>
      </w:r>
      <w:proofErr w:type="spellStart"/>
      <w:r w:rsidRPr="00D00C7E">
        <w:rPr>
          <w:rFonts w:ascii="Times New Roman" w:eastAsia="Times New Roman" w:hAnsi="Times New Roman" w:cs="Times New Roman"/>
          <w:kern w:val="0"/>
          <w14:ligatures w14:val="none"/>
        </w:rPr>
        <w:t>Day</w:t>
      </w:r>
      <w:proofErr w:type="spellEnd"/>
      <w:r w:rsidRPr="00D00C7E">
        <w:rPr>
          <w:rFonts w:ascii="Times New Roman" w:eastAsia="Times New Roman" w:hAnsi="Times New Roman" w:cs="Times New Roman"/>
          <w:kern w:val="0"/>
          <w14:ligatures w14:val="none"/>
        </w:rPr>
        <w:t xml:space="preserve"> 2.</w:t>
      </w:r>
    </w:p>
    <w:p w14:paraId="15AC787A"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pict w14:anchorId="542768CE">
          <v:rect id="_x0000_i1026" style="width:0;height:1.5pt" o:hralign="center" o:hrstd="t" o:hr="t" fillcolor="#a0a0a0" stroked="f"/>
        </w:pict>
      </w:r>
    </w:p>
    <w:p w14:paraId="14969333" w14:textId="77777777" w:rsidR="00D00C7E" w:rsidRPr="00D00C7E" w:rsidRDefault="00D00C7E" w:rsidP="00D00C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0C7E">
        <w:rPr>
          <w:rFonts w:ascii="Times New Roman" w:eastAsia="Times New Roman" w:hAnsi="Times New Roman" w:cs="Times New Roman"/>
          <w:b/>
          <w:bCs/>
          <w:kern w:val="36"/>
          <w:sz w:val="48"/>
          <w:szCs w:val="48"/>
          <w14:ligatures w14:val="none"/>
        </w:rPr>
        <w:t>PART B — Proposed Detailed Build-Out</w:t>
      </w:r>
    </w:p>
    <w:p w14:paraId="6F99CBD0"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i/>
          <w:iCs/>
          <w:kern w:val="0"/>
          <w14:ligatures w14:val="none"/>
        </w:rPr>
        <w:t xml:space="preserve">Canon establishes what the museum wing is for and its major </w:t>
      </w:r>
      <w:proofErr w:type="gramStart"/>
      <w:r w:rsidRPr="00D00C7E">
        <w:rPr>
          <w:rFonts w:ascii="Times New Roman" w:eastAsia="Times New Roman" w:hAnsi="Times New Roman" w:cs="Times New Roman"/>
          <w:i/>
          <w:iCs/>
          <w:kern w:val="0"/>
          <w14:ligatures w14:val="none"/>
        </w:rPr>
        <w:t>components, but</w:t>
      </w:r>
      <w:proofErr w:type="gramEnd"/>
      <w:r w:rsidRPr="00D00C7E">
        <w:rPr>
          <w:rFonts w:ascii="Times New Roman" w:eastAsia="Times New Roman" w:hAnsi="Times New Roman" w:cs="Times New Roman"/>
          <w:i/>
          <w:iCs/>
          <w:kern w:val="0"/>
          <w14:ligatures w14:val="none"/>
        </w:rPr>
        <w:t xml:space="preserve"> never breaks the 120,000 sq ft into an actual floor plan. Below is a proposed room-by-room allocation, built to stay consistent with every fact in Part A rather than contradict it.</w:t>
      </w:r>
    </w:p>
    <w:p w14:paraId="7A2CE4EB" w14:textId="77777777" w:rsidR="00D00C7E" w:rsidRPr="00D00C7E" w:rsidRDefault="00D00C7E" w:rsidP="00D00C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0C7E">
        <w:rPr>
          <w:rFonts w:ascii="Times New Roman" w:eastAsia="Times New Roman" w:hAnsi="Times New Roman" w:cs="Times New Roman"/>
          <w:b/>
          <w:bCs/>
          <w:kern w:val="0"/>
          <w:sz w:val="36"/>
          <w:szCs w:val="36"/>
          <w14:ligatures w14:val="none"/>
        </w:rPr>
        <w:t>Floor Plan &amp; Zone Allocation</w:t>
      </w:r>
    </w:p>
    <w:p w14:paraId="2756FD0A"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b/>
          <w:bCs/>
          <w:kern w:val="0"/>
          <w14:ligatures w14:val="none"/>
        </w:rPr>
        <w:t>Total: ~120,000 sq ft.</w:t>
      </w:r>
      <w:r w:rsidRPr="00D00C7E">
        <w:rPr>
          <w:rFonts w:ascii="Times New Roman" w:eastAsia="Times New Roman" w:hAnsi="Times New Roman" w:cs="Times New Roman"/>
          <w:kern w:val="0"/>
          <w14:ligatures w14:val="none"/>
        </w:rPr>
        <w:t xml:space="preserve"> One thing worth flagging: canon doesn't specify whether the sub-grade Special Storage &amp; Conservation Level counts inside </w:t>
      </w:r>
      <w:proofErr w:type="gramStart"/>
      <w:r w:rsidRPr="00D00C7E">
        <w:rPr>
          <w:rFonts w:ascii="Times New Roman" w:eastAsia="Times New Roman" w:hAnsi="Times New Roman" w:cs="Times New Roman"/>
          <w:kern w:val="0"/>
          <w14:ligatures w14:val="none"/>
        </w:rPr>
        <w:t>this 120,000</w:t>
      </w:r>
      <w:proofErr w:type="gramEnd"/>
      <w:r w:rsidRPr="00D00C7E">
        <w:rPr>
          <w:rFonts w:ascii="Times New Roman" w:eastAsia="Times New Roman" w:hAnsi="Times New Roman" w:cs="Times New Roman"/>
          <w:kern w:val="0"/>
          <w14:ligatures w14:val="none"/>
        </w:rPr>
        <w:t xml:space="preserve"> or sits outside it the way the Deep Archive itself does. I've treated it as included below, since unlike the Deep Archive (explicitly excavated, new construction) the conservation level reads as part of the converted anchor-store footprint — but that's a judgment call worth confirming.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1168"/>
        <w:gridCol w:w="5222"/>
      </w:tblGrid>
      <w:tr w:rsidR="00D00C7E" w:rsidRPr="00D00C7E" w14:paraId="45560167" w14:textId="77777777">
        <w:trPr>
          <w:tblHeader/>
          <w:tblCellSpacing w:w="15" w:type="dxa"/>
        </w:trPr>
        <w:tc>
          <w:tcPr>
            <w:tcW w:w="0" w:type="auto"/>
            <w:vAlign w:val="center"/>
            <w:hideMark/>
          </w:tcPr>
          <w:p w14:paraId="4F36313D" w14:textId="77777777" w:rsidR="00D00C7E" w:rsidRPr="00D00C7E" w:rsidRDefault="00D00C7E" w:rsidP="00D00C7E">
            <w:pPr>
              <w:spacing w:after="0" w:line="240" w:lineRule="auto"/>
              <w:jc w:val="center"/>
              <w:rPr>
                <w:rFonts w:ascii="Times New Roman" w:eastAsia="Times New Roman" w:hAnsi="Times New Roman" w:cs="Times New Roman"/>
                <w:b/>
                <w:bCs/>
                <w:kern w:val="0"/>
                <w14:ligatures w14:val="none"/>
              </w:rPr>
            </w:pPr>
            <w:r w:rsidRPr="00D00C7E">
              <w:rPr>
                <w:rFonts w:ascii="Times New Roman" w:eastAsia="Times New Roman" w:hAnsi="Times New Roman" w:cs="Times New Roman"/>
                <w:b/>
                <w:bCs/>
                <w:kern w:val="0"/>
                <w14:ligatures w14:val="none"/>
              </w:rPr>
              <w:t>Zone</w:t>
            </w:r>
          </w:p>
        </w:tc>
        <w:tc>
          <w:tcPr>
            <w:tcW w:w="0" w:type="auto"/>
            <w:vAlign w:val="center"/>
            <w:hideMark/>
          </w:tcPr>
          <w:p w14:paraId="6D0BCB5F" w14:textId="77777777" w:rsidR="00D00C7E" w:rsidRPr="00D00C7E" w:rsidRDefault="00D00C7E" w:rsidP="00D00C7E">
            <w:pPr>
              <w:spacing w:after="0" w:line="240" w:lineRule="auto"/>
              <w:jc w:val="center"/>
              <w:rPr>
                <w:rFonts w:ascii="Times New Roman" w:eastAsia="Times New Roman" w:hAnsi="Times New Roman" w:cs="Times New Roman"/>
                <w:b/>
                <w:bCs/>
                <w:kern w:val="0"/>
                <w14:ligatures w14:val="none"/>
              </w:rPr>
            </w:pPr>
            <w:r w:rsidRPr="00D00C7E">
              <w:rPr>
                <w:rFonts w:ascii="Times New Roman" w:eastAsia="Times New Roman" w:hAnsi="Times New Roman" w:cs="Times New Roman"/>
                <w:b/>
                <w:bCs/>
                <w:kern w:val="0"/>
                <w14:ligatures w14:val="none"/>
              </w:rPr>
              <w:t>Approx. Sq Ft</w:t>
            </w:r>
          </w:p>
        </w:tc>
        <w:tc>
          <w:tcPr>
            <w:tcW w:w="0" w:type="auto"/>
            <w:vAlign w:val="center"/>
            <w:hideMark/>
          </w:tcPr>
          <w:p w14:paraId="7885F006" w14:textId="77777777" w:rsidR="00D00C7E" w:rsidRPr="00D00C7E" w:rsidRDefault="00D00C7E" w:rsidP="00D00C7E">
            <w:pPr>
              <w:spacing w:after="0" w:line="240" w:lineRule="auto"/>
              <w:jc w:val="center"/>
              <w:rPr>
                <w:rFonts w:ascii="Times New Roman" w:eastAsia="Times New Roman" w:hAnsi="Times New Roman" w:cs="Times New Roman"/>
                <w:b/>
                <w:bCs/>
                <w:kern w:val="0"/>
                <w14:ligatures w14:val="none"/>
              </w:rPr>
            </w:pPr>
            <w:r w:rsidRPr="00D00C7E">
              <w:rPr>
                <w:rFonts w:ascii="Times New Roman" w:eastAsia="Times New Roman" w:hAnsi="Times New Roman" w:cs="Times New Roman"/>
                <w:b/>
                <w:bCs/>
                <w:kern w:val="0"/>
                <w14:ligatures w14:val="none"/>
              </w:rPr>
              <w:t>Function</w:t>
            </w:r>
          </w:p>
        </w:tc>
      </w:tr>
      <w:tr w:rsidR="00D00C7E" w:rsidRPr="00D00C7E" w14:paraId="4F3EC397" w14:textId="77777777">
        <w:trPr>
          <w:tblCellSpacing w:w="15" w:type="dxa"/>
        </w:trPr>
        <w:tc>
          <w:tcPr>
            <w:tcW w:w="0" w:type="auto"/>
            <w:vAlign w:val="center"/>
            <w:hideMark/>
          </w:tcPr>
          <w:p w14:paraId="0F80A390"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Grand Entrance &amp; Reception Lobby</w:t>
            </w:r>
          </w:p>
        </w:tc>
        <w:tc>
          <w:tcPr>
            <w:tcW w:w="0" w:type="auto"/>
            <w:vAlign w:val="center"/>
            <w:hideMark/>
          </w:tcPr>
          <w:p w14:paraId="550F884E"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~15,000</w:t>
            </w:r>
          </w:p>
        </w:tc>
        <w:tc>
          <w:tcPr>
            <w:tcW w:w="0" w:type="auto"/>
            <w:vAlign w:val="center"/>
            <w:hideMark/>
          </w:tcPr>
          <w:p w14:paraId="4FECECA1"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Arrival experience for scheduled visitors</w:t>
            </w:r>
          </w:p>
        </w:tc>
      </w:tr>
      <w:tr w:rsidR="00D00C7E" w:rsidRPr="00D00C7E" w14:paraId="7797DD96" w14:textId="77777777">
        <w:trPr>
          <w:tblCellSpacing w:w="15" w:type="dxa"/>
        </w:trPr>
        <w:tc>
          <w:tcPr>
            <w:tcW w:w="0" w:type="auto"/>
            <w:vAlign w:val="center"/>
            <w:hideMark/>
          </w:tcPr>
          <w:p w14:paraId="35E24F4C"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The Exhibit Halls (modular galleries)</w:t>
            </w:r>
          </w:p>
        </w:tc>
        <w:tc>
          <w:tcPr>
            <w:tcW w:w="0" w:type="auto"/>
            <w:vAlign w:val="center"/>
            <w:hideMark/>
          </w:tcPr>
          <w:p w14:paraId="4608EF79"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~55,000</w:t>
            </w:r>
          </w:p>
        </w:tc>
        <w:tc>
          <w:tcPr>
            <w:tcW w:w="0" w:type="auto"/>
            <w:vAlign w:val="center"/>
            <w:hideMark/>
          </w:tcPr>
          <w:p w14:paraId="5FD7DF21"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Primary collection display</w:t>
            </w:r>
          </w:p>
        </w:tc>
      </w:tr>
      <w:tr w:rsidR="00D00C7E" w:rsidRPr="00D00C7E" w14:paraId="04079B5D" w14:textId="77777777">
        <w:trPr>
          <w:tblCellSpacing w:w="15" w:type="dxa"/>
        </w:trPr>
        <w:tc>
          <w:tcPr>
            <w:tcW w:w="0" w:type="auto"/>
            <w:vAlign w:val="center"/>
            <w:hideMark/>
          </w:tcPr>
          <w:p w14:paraId="181CB337"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Reception &amp; Event Space</w:t>
            </w:r>
          </w:p>
        </w:tc>
        <w:tc>
          <w:tcPr>
            <w:tcW w:w="0" w:type="auto"/>
            <w:vAlign w:val="center"/>
            <w:hideMark/>
          </w:tcPr>
          <w:p w14:paraId="2013F1DD"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~15,000</w:t>
            </w:r>
          </w:p>
        </w:tc>
        <w:tc>
          <w:tcPr>
            <w:tcW w:w="0" w:type="auto"/>
            <w:vAlign w:val="center"/>
            <w:hideMark/>
          </w:tcPr>
          <w:p w14:paraId="38327D8F"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Gala/business-visit hosting capacity</w:t>
            </w:r>
          </w:p>
        </w:tc>
      </w:tr>
      <w:tr w:rsidR="00D00C7E" w:rsidRPr="00D00C7E" w14:paraId="094C4E15" w14:textId="77777777">
        <w:trPr>
          <w:tblCellSpacing w:w="15" w:type="dxa"/>
        </w:trPr>
        <w:tc>
          <w:tcPr>
            <w:tcW w:w="0" w:type="auto"/>
            <w:vAlign w:val="center"/>
            <w:hideMark/>
          </w:tcPr>
          <w:p w14:paraId="32DFEC0B"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Special Storage &amp; Conservation Level (sub-grade)</w:t>
            </w:r>
          </w:p>
        </w:tc>
        <w:tc>
          <w:tcPr>
            <w:tcW w:w="0" w:type="auto"/>
            <w:vAlign w:val="center"/>
            <w:hideMark/>
          </w:tcPr>
          <w:p w14:paraId="536F30BF"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~15,000</w:t>
            </w:r>
          </w:p>
        </w:tc>
        <w:tc>
          <w:tcPr>
            <w:tcW w:w="0" w:type="auto"/>
            <w:vAlign w:val="center"/>
            <w:hideMark/>
          </w:tcPr>
          <w:p w14:paraId="6BADE58D"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Active-conservation and exhibit-staging space</w:t>
            </w:r>
          </w:p>
        </w:tc>
      </w:tr>
      <w:tr w:rsidR="00D00C7E" w:rsidRPr="00D00C7E" w14:paraId="2BC8F97D" w14:textId="77777777">
        <w:trPr>
          <w:tblCellSpacing w:w="15" w:type="dxa"/>
        </w:trPr>
        <w:tc>
          <w:tcPr>
            <w:tcW w:w="0" w:type="auto"/>
            <w:vAlign w:val="center"/>
            <w:hideMark/>
          </w:tcPr>
          <w:p w14:paraId="4F5C38D8"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Curatorial &amp; Administrative Offices</w:t>
            </w:r>
          </w:p>
        </w:tc>
        <w:tc>
          <w:tcPr>
            <w:tcW w:w="0" w:type="auto"/>
            <w:vAlign w:val="center"/>
            <w:hideMark/>
          </w:tcPr>
          <w:p w14:paraId="1FFD9FAC"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~10,000</w:t>
            </w:r>
          </w:p>
        </w:tc>
        <w:tc>
          <w:tcPr>
            <w:tcW w:w="0" w:type="auto"/>
            <w:vAlign w:val="center"/>
            <w:hideMark/>
          </w:tcPr>
          <w:p w14:paraId="5FE33DDC"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Director, curators, registrar, acquisitions specialist</w:t>
            </w:r>
          </w:p>
        </w:tc>
      </w:tr>
      <w:tr w:rsidR="00D00C7E" w:rsidRPr="00D00C7E" w14:paraId="4D7F2FA0" w14:textId="77777777">
        <w:trPr>
          <w:tblCellSpacing w:w="15" w:type="dxa"/>
        </w:trPr>
        <w:tc>
          <w:tcPr>
            <w:tcW w:w="0" w:type="auto"/>
            <w:vAlign w:val="center"/>
            <w:hideMark/>
          </w:tcPr>
          <w:p w14:paraId="5817FEB6"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Museum Security Office</w:t>
            </w:r>
          </w:p>
        </w:tc>
        <w:tc>
          <w:tcPr>
            <w:tcW w:w="0" w:type="auto"/>
            <w:vAlign w:val="center"/>
            <w:hideMark/>
          </w:tcPr>
          <w:p w14:paraId="2B935ED7"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~3,000</w:t>
            </w:r>
          </w:p>
        </w:tc>
        <w:tc>
          <w:tcPr>
            <w:tcW w:w="0" w:type="auto"/>
            <w:vAlign w:val="center"/>
            <w:hideMark/>
          </w:tcPr>
          <w:p w14:paraId="4FAA25F6"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Monitoring, biometric access control</w:t>
            </w:r>
          </w:p>
        </w:tc>
      </w:tr>
      <w:tr w:rsidR="00D00C7E" w:rsidRPr="00D00C7E" w14:paraId="37A4BE80" w14:textId="77777777">
        <w:trPr>
          <w:tblCellSpacing w:w="15" w:type="dxa"/>
        </w:trPr>
        <w:tc>
          <w:tcPr>
            <w:tcW w:w="0" w:type="auto"/>
            <w:vAlign w:val="center"/>
            <w:hideMark/>
          </w:tcPr>
          <w:p w14:paraId="2352DE20"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Docent Station &amp; Visitor Services</w:t>
            </w:r>
          </w:p>
        </w:tc>
        <w:tc>
          <w:tcPr>
            <w:tcW w:w="0" w:type="auto"/>
            <w:vAlign w:val="center"/>
            <w:hideMark/>
          </w:tcPr>
          <w:p w14:paraId="3D2032AA"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~2,000</w:t>
            </w:r>
          </w:p>
        </w:tc>
        <w:tc>
          <w:tcPr>
            <w:tcW w:w="0" w:type="auto"/>
            <w:vAlign w:val="center"/>
            <w:hideMark/>
          </w:tcPr>
          <w:p w14:paraId="174470B6"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Front-of-house coordination during events</w:t>
            </w:r>
          </w:p>
        </w:tc>
      </w:tr>
      <w:tr w:rsidR="00D00C7E" w:rsidRPr="00D00C7E" w14:paraId="4649A3BE" w14:textId="77777777">
        <w:trPr>
          <w:tblCellSpacing w:w="15" w:type="dxa"/>
        </w:trPr>
        <w:tc>
          <w:tcPr>
            <w:tcW w:w="0" w:type="auto"/>
            <w:vAlign w:val="center"/>
            <w:hideMark/>
          </w:tcPr>
          <w:p w14:paraId="462CF9CF"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Back-of-house circulation, mechanical, loading</w:t>
            </w:r>
          </w:p>
        </w:tc>
        <w:tc>
          <w:tcPr>
            <w:tcW w:w="0" w:type="auto"/>
            <w:vAlign w:val="center"/>
            <w:hideMark/>
          </w:tcPr>
          <w:p w14:paraId="467854B6"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~5,000</w:t>
            </w:r>
          </w:p>
        </w:tc>
        <w:tc>
          <w:tcPr>
            <w:tcW w:w="0" w:type="auto"/>
            <w:vAlign w:val="center"/>
            <w:hideMark/>
          </w:tcPr>
          <w:p w14:paraId="1156B425" w14:textId="77777777" w:rsidR="00D00C7E" w:rsidRPr="00D00C7E" w:rsidRDefault="00D00C7E" w:rsidP="00D00C7E">
            <w:pPr>
              <w:spacing w:after="0"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Freight access for incoming/outgoing pieces, HVAC serving the conservation level's climate control</w:t>
            </w:r>
          </w:p>
        </w:tc>
      </w:tr>
    </w:tbl>
    <w:p w14:paraId="121B81A0" w14:textId="77777777" w:rsidR="00D00C7E" w:rsidRPr="00D00C7E" w:rsidRDefault="00D00C7E" w:rsidP="00D00C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C7E">
        <w:rPr>
          <w:rFonts w:ascii="Times New Roman" w:eastAsia="Times New Roman" w:hAnsi="Times New Roman" w:cs="Times New Roman"/>
          <w:b/>
          <w:bCs/>
          <w:kern w:val="0"/>
          <w:sz w:val="27"/>
          <w:szCs w:val="27"/>
          <w14:ligatures w14:val="none"/>
        </w:rPr>
        <w:t>Grand Entrance &amp; Reception Lobby (~15,000 sq ft)</w:t>
      </w:r>
    </w:p>
    <w:p w14:paraId="4448832F"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The transition point between "estate" and "</w:t>
      </w:r>
      <w:proofErr w:type="gramStart"/>
      <w:r w:rsidRPr="00D00C7E">
        <w:rPr>
          <w:rFonts w:ascii="Times New Roman" w:eastAsia="Times New Roman" w:hAnsi="Times New Roman" w:cs="Times New Roman"/>
          <w:kern w:val="0"/>
          <w14:ligatures w14:val="none"/>
        </w:rPr>
        <w:t>museum" —</w:t>
      </w:r>
      <w:proofErr w:type="gramEnd"/>
      <w:r w:rsidRPr="00D00C7E">
        <w:rPr>
          <w:rFonts w:ascii="Times New Roman" w:eastAsia="Times New Roman" w:hAnsi="Times New Roman" w:cs="Times New Roman"/>
          <w:kern w:val="0"/>
          <w14:ligatures w14:val="none"/>
        </w:rPr>
        <w:t xml:space="preserve"> visitors arrive here via the interior transit system (golf cart paths, private elevators, per canon) or, for a scheduled outside guest, through a </w:t>
      </w:r>
      <w:r w:rsidRPr="00D00C7E">
        <w:rPr>
          <w:rFonts w:ascii="Times New Roman" w:eastAsia="Times New Roman" w:hAnsi="Times New Roman" w:cs="Times New Roman"/>
          <w:kern w:val="0"/>
          <w14:ligatures w14:val="none"/>
        </w:rPr>
        <w:lastRenderedPageBreak/>
        <w:t>dedicated exterior entrance separate from the household's own arrival plaza. Given the building's Maison Verrier history, the lobby is the one place in the wing that visibly gestures at that legacy — a discreet plaque or design element acknowledging the space's prior life, understated rather than a shrine to it. Biometric checkpoint at the transition into the gallery halls proper, matching the access model established in Part A.</w:t>
      </w:r>
    </w:p>
    <w:p w14:paraId="2CDD746C" w14:textId="77777777" w:rsidR="00D00C7E" w:rsidRPr="00D00C7E" w:rsidRDefault="00D00C7E" w:rsidP="00D00C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C7E">
        <w:rPr>
          <w:rFonts w:ascii="Times New Roman" w:eastAsia="Times New Roman" w:hAnsi="Times New Roman" w:cs="Times New Roman"/>
          <w:b/>
          <w:bCs/>
          <w:kern w:val="0"/>
          <w:sz w:val="27"/>
          <w:szCs w:val="27"/>
          <w14:ligatures w14:val="none"/>
        </w:rPr>
        <w:t>The Exhibit Halls (~55,000 sq ft)</w:t>
      </w:r>
    </w:p>
    <w:p w14:paraId="46C81E9D"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The modular gallery system described in canon — individually walled spaces that can combine for a major retrospective or partition down for a focused show. Proposed as roughly 6–8 individual hall modules of varying size (some large enough for a full retrospective wall, some intimate enough for a single-object focus), consistent with "a series of individually walled, modular gallery spaces rather than one undivided hall." Given the collection's established focus — predominantly women's couture, both archival and contemporary runway pieces — a natural default hang would dedicate at least one hall to whatever migrates from the Footwear Vault once that eventually happens on-page (per Priya's foreshadowing above), keeping faith with her specific suggestion that the ruby pair "belongs somewhere with a placard."</w:t>
      </w:r>
    </w:p>
    <w:p w14:paraId="064B3C8A" w14:textId="77777777" w:rsidR="00D00C7E" w:rsidRPr="00D00C7E" w:rsidRDefault="00D00C7E" w:rsidP="00D00C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C7E">
        <w:rPr>
          <w:rFonts w:ascii="Times New Roman" w:eastAsia="Times New Roman" w:hAnsi="Times New Roman" w:cs="Times New Roman"/>
          <w:b/>
          <w:bCs/>
          <w:kern w:val="0"/>
          <w:sz w:val="27"/>
          <w:szCs w:val="27"/>
          <w14:ligatures w14:val="none"/>
        </w:rPr>
        <w:t>Reception &amp; Event Space (~15,000 sq ft)</w:t>
      </w:r>
    </w:p>
    <w:p w14:paraId="0F5E22E6"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Distinct from the Exhibit Halls themselves — a gathering space capable of hosting guests for the occasions canon specifies (a business visit, a conference, a fashion-industry function, a gala), without doubling as gallery space that would need to be cleared for an event. This is the room a caterer (Epicurean Kitchen staff or outside catering, per canon) </w:t>
      </w:r>
      <w:proofErr w:type="gramStart"/>
      <w:r w:rsidRPr="00D00C7E">
        <w:rPr>
          <w:rFonts w:ascii="Times New Roman" w:eastAsia="Times New Roman" w:hAnsi="Times New Roman" w:cs="Times New Roman"/>
          <w:kern w:val="0"/>
          <w14:ligatures w14:val="none"/>
        </w:rPr>
        <w:t>actually sets</w:t>
      </w:r>
      <w:proofErr w:type="gramEnd"/>
      <w:r w:rsidRPr="00D00C7E">
        <w:rPr>
          <w:rFonts w:ascii="Times New Roman" w:eastAsia="Times New Roman" w:hAnsi="Times New Roman" w:cs="Times New Roman"/>
          <w:kern w:val="0"/>
          <w14:ligatures w14:val="none"/>
        </w:rPr>
        <w:t xml:space="preserve"> up in.</w:t>
      </w:r>
    </w:p>
    <w:p w14:paraId="296D7DD7" w14:textId="77777777" w:rsidR="00D00C7E" w:rsidRPr="00D00C7E" w:rsidRDefault="00D00C7E" w:rsidP="00D00C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C7E">
        <w:rPr>
          <w:rFonts w:ascii="Times New Roman" w:eastAsia="Times New Roman" w:hAnsi="Times New Roman" w:cs="Times New Roman"/>
          <w:b/>
          <w:bCs/>
          <w:kern w:val="0"/>
          <w:sz w:val="27"/>
          <w:szCs w:val="27"/>
          <w14:ligatures w14:val="none"/>
        </w:rPr>
        <w:t>Special Storage &amp; Conservation Level (~15,000 sq ft, sub-grade)</w:t>
      </w:r>
    </w:p>
    <w:p w14:paraId="688161FE"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The active-conservation and exhibit-staging space canon describes — where pieces currently on rotation live, pulled up from the Deep Archive via the shared underground connection. Proposed contents: a receiving/inspection bay for pieces arriving from the Archive, individual conservation workstations for the two Textile Conservators, climate-controlled staging shelving for pieces queued for an upcoming hang, and a small photography/documentation station (consistent with how </w:t>
      </w:r>
      <w:r w:rsidRPr="00D00C7E">
        <w:rPr>
          <w:rFonts w:ascii="Courier New" w:eastAsia="Times New Roman" w:hAnsi="Courier New" w:cs="Courier New"/>
          <w:kern w:val="0"/>
          <w:sz w:val="20"/>
          <w:szCs w:val="20"/>
          <w14:ligatures w14:val="none"/>
        </w:rPr>
        <w:t>cassandra-labs.md</w:t>
      </w:r>
      <w:r w:rsidRPr="00D00C7E">
        <w:rPr>
          <w:rFonts w:ascii="Times New Roman" w:eastAsia="Times New Roman" w:hAnsi="Times New Roman" w:cs="Times New Roman"/>
          <w:kern w:val="0"/>
          <w14:ligatures w14:val="none"/>
        </w:rPr>
        <w:t xml:space="preserve"> treats documentation as a genuine, distinct need for anything valuable enough to need a permanent visual record).</w:t>
      </w:r>
    </w:p>
    <w:p w14:paraId="469932A7" w14:textId="77777777" w:rsidR="00D00C7E" w:rsidRPr="00D00C7E" w:rsidRDefault="00D00C7E" w:rsidP="00D00C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C7E">
        <w:rPr>
          <w:rFonts w:ascii="Times New Roman" w:eastAsia="Times New Roman" w:hAnsi="Times New Roman" w:cs="Times New Roman"/>
          <w:b/>
          <w:bCs/>
          <w:kern w:val="0"/>
          <w:sz w:val="27"/>
          <w:szCs w:val="27"/>
          <w14:ligatures w14:val="none"/>
        </w:rPr>
        <w:t>Curatorial &amp; Administrative Offices (~10,000 sq ft)</w:t>
      </w:r>
    </w:p>
    <w:p w14:paraId="7E39014A"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Not mentioned explicitly in canon, but implied by the staffing table — a Director, Head Curator, two Assistant Curators, a Registrar, and an Acquisitions Specialist need somewhere to </w:t>
      </w:r>
      <w:proofErr w:type="gramStart"/>
      <w:r w:rsidRPr="00D00C7E">
        <w:rPr>
          <w:rFonts w:ascii="Times New Roman" w:eastAsia="Times New Roman" w:hAnsi="Times New Roman" w:cs="Times New Roman"/>
          <w:kern w:val="0"/>
          <w14:ligatures w14:val="none"/>
        </w:rPr>
        <w:t>actually work</w:t>
      </w:r>
      <w:proofErr w:type="gramEnd"/>
      <w:r w:rsidRPr="00D00C7E">
        <w:rPr>
          <w:rFonts w:ascii="Times New Roman" w:eastAsia="Times New Roman" w:hAnsi="Times New Roman" w:cs="Times New Roman"/>
          <w:kern w:val="0"/>
          <w14:ligatures w14:val="none"/>
        </w:rPr>
        <w:t xml:space="preserve"> that isn't gallery floor. Individual offices for the Director, Head Curator, and Registrar; shared workspace for the Assistant Curators; a dedicated files/provenance-records room for the Registrar's collection-history work.</w:t>
      </w:r>
    </w:p>
    <w:p w14:paraId="6BF35ECE" w14:textId="77777777" w:rsidR="00D00C7E" w:rsidRPr="00D00C7E" w:rsidRDefault="00D00C7E" w:rsidP="00D00C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C7E">
        <w:rPr>
          <w:rFonts w:ascii="Times New Roman" w:eastAsia="Times New Roman" w:hAnsi="Times New Roman" w:cs="Times New Roman"/>
          <w:b/>
          <w:bCs/>
          <w:kern w:val="0"/>
          <w:sz w:val="27"/>
          <w:szCs w:val="27"/>
          <w14:ligatures w14:val="none"/>
        </w:rPr>
        <w:t>Museum Security Office (~3,000 sq ft)</w:t>
      </w:r>
    </w:p>
    <w:p w14:paraId="7288E677"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lastRenderedPageBreak/>
        <w:t>Monitoring for the biometric access system and the "real guards, real display-case-grade security measures" canon specifies once the Footwear Vault's pieces eventually migrate here. Separate from general estate security, per canon, with its own dedicated monitoring station rather than folding into the household's main security operations center.</w:t>
      </w:r>
    </w:p>
    <w:p w14:paraId="08FE5726" w14:textId="77777777" w:rsidR="00D00C7E" w:rsidRPr="00D00C7E" w:rsidRDefault="00D00C7E" w:rsidP="00D00C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0C7E">
        <w:rPr>
          <w:rFonts w:ascii="Times New Roman" w:eastAsia="Times New Roman" w:hAnsi="Times New Roman" w:cs="Times New Roman"/>
          <w:b/>
          <w:bCs/>
          <w:kern w:val="0"/>
          <w:sz w:val="27"/>
          <w:szCs w:val="27"/>
          <w14:ligatures w14:val="none"/>
        </w:rPr>
        <w:t>Docent Station &amp; Visitor Services (~2,000 sq ft)</w:t>
      </w:r>
    </w:p>
    <w:p w14:paraId="20620048"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Where the Visitor Services Coordinator and on-duty docents </w:t>
      </w:r>
      <w:proofErr w:type="gramStart"/>
      <w:r w:rsidRPr="00D00C7E">
        <w:rPr>
          <w:rFonts w:ascii="Times New Roman" w:eastAsia="Times New Roman" w:hAnsi="Times New Roman" w:cs="Times New Roman"/>
          <w:kern w:val="0"/>
          <w14:ligatures w14:val="none"/>
        </w:rPr>
        <w:t>actually stage</w:t>
      </w:r>
      <w:proofErr w:type="gramEnd"/>
      <w:r w:rsidRPr="00D00C7E">
        <w:rPr>
          <w:rFonts w:ascii="Times New Roman" w:eastAsia="Times New Roman" w:hAnsi="Times New Roman" w:cs="Times New Roman"/>
          <w:kern w:val="0"/>
          <w14:ligatures w14:val="none"/>
        </w:rPr>
        <w:t xml:space="preserve"> during an active event — check-in, guest materials, coordination point for guiding visitors through the halls.</w:t>
      </w:r>
    </w:p>
    <w:p w14:paraId="6AB19BD3" w14:textId="77777777" w:rsidR="00D00C7E" w:rsidRPr="00D00C7E" w:rsidRDefault="00D00C7E" w:rsidP="00D00C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0C7E">
        <w:rPr>
          <w:rFonts w:ascii="Times New Roman" w:eastAsia="Times New Roman" w:hAnsi="Times New Roman" w:cs="Times New Roman"/>
          <w:b/>
          <w:bCs/>
          <w:kern w:val="0"/>
          <w:sz w:val="36"/>
          <w:szCs w:val="36"/>
          <w14:ligatures w14:val="none"/>
        </w:rPr>
        <w:t>What This Wing Deliberately Doesn't Have</w:t>
      </w:r>
    </w:p>
    <w:p w14:paraId="3AB3ED68"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Worth noting explicitly, since real-world museums typically include these and this one doesn't, by design: </w:t>
      </w:r>
      <w:r w:rsidRPr="00D00C7E">
        <w:rPr>
          <w:rFonts w:ascii="Times New Roman" w:eastAsia="Times New Roman" w:hAnsi="Times New Roman" w:cs="Times New Roman"/>
          <w:b/>
          <w:bCs/>
          <w:kern w:val="0"/>
          <w14:ligatures w14:val="none"/>
        </w:rPr>
        <w:t>no gift shop, no ticketing desk, no standing public café.</w:t>
      </w:r>
      <w:r w:rsidRPr="00D00C7E">
        <w:rPr>
          <w:rFonts w:ascii="Times New Roman" w:eastAsia="Times New Roman" w:hAnsi="Times New Roman" w:cs="Times New Roman"/>
          <w:kern w:val="0"/>
          <w14:ligatures w14:val="none"/>
        </w:rPr>
        <w:t xml:space="preserve"> The wing is never simply "</w:t>
      </w:r>
      <w:proofErr w:type="gramStart"/>
      <w:r w:rsidRPr="00D00C7E">
        <w:rPr>
          <w:rFonts w:ascii="Times New Roman" w:eastAsia="Times New Roman" w:hAnsi="Times New Roman" w:cs="Times New Roman"/>
          <w:kern w:val="0"/>
          <w14:ligatures w14:val="none"/>
        </w:rPr>
        <w:t>open" —</w:t>
      </w:r>
      <w:proofErr w:type="gramEnd"/>
      <w:r w:rsidRPr="00D00C7E">
        <w:rPr>
          <w:rFonts w:ascii="Times New Roman" w:eastAsia="Times New Roman" w:hAnsi="Times New Roman" w:cs="Times New Roman"/>
          <w:kern w:val="0"/>
          <w14:ligatures w14:val="none"/>
        </w:rPr>
        <w:t xml:space="preserve"> it has no walk-in public at all, per canon — so the retail/hospitality infrastructure a normally-operating museum needs doesn't apply here. Anything a guest needs during an event is folded into that event's own catering logistics rather than being a permanent fixture of the space.</w:t>
      </w:r>
    </w:p>
    <w:p w14:paraId="23A77D02" w14:textId="77777777" w:rsidR="00D00C7E" w:rsidRPr="00D00C7E" w:rsidRDefault="00D00C7E" w:rsidP="00D00C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0C7E">
        <w:rPr>
          <w:rFonts w:ascii="Times New Roman" w:eastAsia="Times New Roman" w:hAnsi="Times New Roman" w:cs="Times New Roman"/>
          <w:b/>
          <w:bCs/>
          <w:kern w:val="0"/>
          <w:sz w:val="36"/>
          <w:szCs w:val="36"/>
          <w14:ligatures w14:val="none"/>
        </w:rPr>
        <w:t>Current Story Status</w:t>
      </w:r>
    </w:p>
    <w:p w14:paraId="6B73817A" w14:textId="77777777" w:rsidR="00D00C7E" w:rsidRPr="00D00C7E" w:rsidRDefault="00D00C7E" w:rsidP="00D00C7E">
      <w:pPr>
        <w:spacing w:before="100" w:beforeAutospacing="1" w:after="100" w:afterAutospacing="1" w:line="240" w:lineRule="auto"/>
        <w:rPr>
          <w:rFonts w:ascii="Times New Roman" w:eastAsia="Times New Roman" w:hAnsi="Times New Roman" w:cs="Times New Roman"/>
          <w:kern w:val="0"/>
          <w14:ligatures w14:val="none"/>
        </w:rPr>
      </w:pPr>
      <w:r w:rsidRPr="00D00C7E">
        <w:rPr>
          <w:rFonts w:ascii="Times New Roman" w:eastAsia="Times New Roman" w:hAnsi="Times New Roman" w:cs="Times New Roman"/>
          <w:kern w:val="0"/>
          <w14:ligatures w14:val="none"/>
        </w:rPr>
        <w:t xml:space="preserve">Built, </w:t>
      </w:r>
      <w:proofErr w:type="gramStart"/>
      <w:r w:rsidRPr="00D00C7E">
        <w:rPr>
          <w:rFonts w:ascii="Times New Roman" w:eastAsia="Times New Roman" w:hAnsi="Times New Roman" w:cs="Times New Roman"/>
          <w:kern w:val="0"/>
          <w14:ligatures w14:val="none"/>
        </w:rPr>
        <w:t>staffed</w:t>
      </w:r>
      <w:proofErr w:type="gramEnd"/>
      <w:r w:rsidRPr="00D00C7E">
        <w:rPr>
          <w:rFonts w:ascii="Times New Roman" w:eastAsia="Times New Roman" w:hAnsi="Times New Roman" w:cs="Times New Roman"/>
          <w:kern w:val="0"/>
          <w14:ligatures w14:val="none"/>
        </w:rPr>
        <w:t xml:space="preserve"> on paper, but </w:t>
      </w:r>
      <w:r w:rsidRPr="00D00C7E">
        <w:rPr>
          <w:rFonts w:ascii="Times New Roman" w:eastAsia="Times New Roman" w:hAnsi="Times New Roman" w:cs="Times New Roman"/>
          <w:b/>
          <w:bCs/>
          <w:kern w:val="0"/>
          <w14:ligatures w14:val="none"/>
        </w:rPr>
        <w:t xml:space="preserve">not yet activated </w:t>
      </w:r>
      <w:proofErr w:type="gramStart"/>
      <w:r w:rsidRPr="00D00C7E">
        <w:rPr>
          <w:rFonts w:ascii="Times New Roman" w:eastAsia="Times New Roman" w:hAnsi="Times New Roman" w:cs="Times New Roman"/>
          <w:b/>
          <w:bCs/>
          <w:kern w:val="0"/>
          <w14:ligatures w14:val="none"/>
        </w:rPr>
        <w:t>on-page</w:t>
      </w:r>
      <w:proofErr w:type="gramEnd"/>
      <w:r w:rsidRPr="00D00C7E">
        <w:rPr>
          <w:rFonts w:ascii="Times New Roman" w:eastAsia="Times New Roman" w:hAnsi="Times New Roman" w:cs="Times New Roman"/>
          <w:b/>
          <w:bCs/>
          <w:kern w:val="0"/>
          <w14:ligatures w14:val="none"/>
        </w:rPr>
        <w:t>.</w:t>
      </w:r>
      <w:r w:rsidRPr="00D00C7E">
        <w:rPr>
          <w:rFonts w:ascii="Times New Roman" w:eastAsia="Times New Roman" w:hAnsi="Times New Roman" w:cs="Times New Roman"/>
          <w:kern w:val="0"/>
          <w14:ligatures w14:val="none"/>
        </w:rPr>
        <w:t xml:space="preserve"> </w:t>
      </w:r>
      <w:proofErr w:type="gramStart"/>
      <w:r w:rsidRPr="00D00C7E">
        <w:rPr>
          <w:rFonts w:ascii="Times New Roman" w:eastAsia="Times New Roman" w:hAnsi="Times New Roman" w:cs="Times New Roman"/>
          <w:kern w:val="0"/>
          <w14:ligatures w14:val="none"/>
        </w:rPr>
        <w:t>As of</w:t>
      </w:r>
      <w:proofErr w:type="gramEnd"/>
      <w:r w:rsidRPr="00D00C7E">
        <w:rPr>
          <w:rFonts w:ascii="Times New Roman" w:eastAsia="Times New Roman" w:hAnsi="Times New Roman" w:cs="Times New Roman"/>
          <w:kern w:val="0"/>
          <w14:ligatures w14:val="none"/>
        </w:rPr>
        <w:t xml:space="preserve"> </w:t>
      </w:r>
      <w:proofErr w:type="gramStart"/>
      <w:r w:rsidRPr="00D00C7E">
        <w:rPr>
          <w:rFonts w:ascii="Times New Roman" w:eastAsia="Times New Roman" w:hAnsi="Times New Roman" w:cs="Times New Roman"/>
          <w:kern w:val="0"/>
          <w14:ligatures w14:val="none"/>
        </w:rPr>
        <w:t>Day</w:t>
      </w:r>
      <w:proofErr w:type="gramEnd"/>
      <w:r w:rsidRPr="00D00C7E">
        <w:rPr>
          <w:rFonts w:ascii="Times New Roman" w:eastAsia="Times New Roman" w:hAnsi="Times New Roman" w:cs="Times New Roman"/>
          <w:kern w:val="0"/>
          <w14:ligatures w14:val="none"/>
        </w:rPr>
        <w:t xml:space="preserve"> 2's close, the Footwear Vault's collection still lives in the Anchor's Dressing Room, </w:t>
      </w:r>
      <w:proofErr w:type="gramStart"/>
      <w:r w:rsidRPr="00D00C7E">
        <w:rPr>
          <w:rFonts w:ascii="Times New Roman" w:eastAsia="Times New Roman" w:hAnsi="Times New Roman" w:cs="Times New Roman"/>
          <w:kern w:val="0"/>
          <w14:ligatures w14:val="none"/>
        </w:rPr>
        <w:t>not the museum —</w:t>
      </w:r>
      <w:proofErr w:type="gramEnd"/>
      <w:r w:rsidRPr="00D00C7E">
        <w:rPr>
          <w:rFonts w:ascii="Times New Roman" w:eastAsia="Times New Roman" w:hAnsi="Times New Roman" w:cs="Times New Roman"/>
          <w:kern w:val="0"/>
          <w14:ligatures w14:val="none"/>
        </w:rPr>
        <w:t xml:space="preserve"> Renata's own line ("Someday, perhaps... for now it belongs exactly where it is") confirms the migration described in canon hasn't happened yet. A visit to this wing, a first exhibit hang, or the vault's eventual migration are all open future beats.</w:t>
      </w:r>
    </w:p>
    <w:p w14:paraId="5529F409"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947FB"/>
    <w:multiLevelType w:val="multilevel"/>
    <w:tmpl w:val="491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D18CC"/>
    <w:multiLevelType w:val="multilevel"/>
    <w:tmpl w:val="042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51329">
    <w:abstractNumId w:val="0"/>
  </w:num>
  <w:num w:numId="2" w16cid:durableId="460613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C7E"/>
    <w:rsid w:val="00116558"/>
    <w:rsid w:val="00A36E99"/>
    <w:rsid w:val="00D00C7E"/>
    <w:rsid w:val="00EF5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ACC6"/>
  <w15:chartTrackingRefBased/>
  <w15:docId w15:val="{97D5D7E1-DE4C-400B-832F-C0F38110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C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C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C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C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C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C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C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C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C7E"/>
    <w:rPr>
      <w:rFonts w:eastAsiaTheme="majorEastAsia" w:cstheme="majorBidi"/>
      <w:color w:val="272727" w:themeColor="text1" w:themeTint="D8"/>
    </w:rPr>
  </w:style>
  <w:style w:type="paragraph" w:styleId="Title">
    <w:name w:val="Title"/>
    <w:basedOn w:val="Normal"/>
    <w:next w:val="Normal"/>
    <w:link w:val="TitleChar"/>
    <w:uiPriority w:val="10"/>
    <w:qFormat/>
    <w:rsid w:val="00D00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C7E"/>
    <w:pPr>
      <w:spacing w:before="160"/>
      <w:jc w:val="center"/>
    </w:pPr>
    <w:rPr>
      <w:i/>
      <w:iCs/>
      <w:color w:val="404040" w:themeColor="text1" w:themeTint="BF"/>
    </w:rPr>
  </w:style>
  <w:style w:type="character" w:customStyle="1" w:styleId="QuoteChar">
    <w:name w:val="Quote Char"/>
    <w:basedOn w:val="DefaultParagraphFont"/>
    <w:link w:val="Quote"/>
    <w:uiPriority w:val="29"/>
    <w:rsid w:val="00D00C7E"/>
    <w:rPr>
      <w:i/>
      <w:iCs/>
      <w:color w:val="404040" w:themeColor="text1" w:themeTint="BF"/>
    </w:rPr>
  </w:style>
  <w:style w:type="paragraph" w:styleId="ListParagraph">
    <w:name w:val="List Paragraph"/>
    <w:basedOn w:val="Normal"/>
    <w:uiPriority w:val="34"/>
    <w:qFormat/>
    <w:rsid w:val="00D00C7E"/>
    <w:pPr>
      <w:ind w:left="720"/>
      <w:contextualSpacing/>
    </w:pPr>
  </w:style>
  <w:style w:type="character" w:styleId="IntenseEmphasis">
    <w:name w:val="Intense Emphasis"/>
    <w:basedOn w:val="DefaultParagraphFont"/>
    <w:uiPriority w:val="21"/>
    <w:qFormat/>
    <w:rsid w:val="00D00C7E"/>
    <w:rPr>
      <w:i/>
      <w:iCs/>
      <w:color w:val="0F4761" w:themeColor="accent1" w:themeShade="BF"/>
    </w:rPr>
  </w:style>
  <w:style w:type="paragraph" w:styleId="IntenseQuote">
    <w:name w:val="Intense Quote"/>
    <w:basedOn w:val="Normal"/>
    <w:next w:val="Normal"/>
    <w:link w:val="IntenseQuoteChar"/>
    <w:uiPriority w:val="30"/>
    <w:qFormat/>
    <w:rsid w:val="00D00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C7E"/>
    <w:rPr>
      <w:i/>
      <w:iCs/>
      <w:color w:val="0F4761" w:themeColor="accent1" w:themeShade="BF"/>
    </w:rPr>
  </w:style>
  <w:style w:type="character" w:styleId="IntenseReference">
    <w:name w:val="Intense Reference"/>
    <w:basedOn w:val="DefaultParagraphFont"/>
    <w:uiPriority w:val="32"/>
    <w:qFormat/>
    <w:rsid w:val="00D00C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1860</Words>
  <Characters>11759</Characters>
  <Application>Microsoft Office Word</Application>
  <DocSecurity>0</DocSecurity>
  <Lines>235</Lines>
  <Paragraphs>65</Paragraphs>
  <ScaleCrop>false</ScaleCrop>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2026-09-08T18:30:00Z</dcterms:created>
  <dcterms:modified xsi:type="dcterms:W3CDTF">2026-09-08T18:31:00Z</dcterms:modified>
</cp:coreProperties>
</file>