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67A6778A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proofErr w:type="spellStart"/>
      <w:r w:rsidR="00504144">
        <w:rPr>
          <w:lang w:val="en-US"/>
        </w:rPr>
        <w:t>nfc</w:t>
      </w:r>
      <w:proofErr w:type="spellEnd"/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proofErr w:type="spellStart"/>
      <w:r w:rsidR="00EC2C03">
        <w:rPr>
          <w:lang w:val="en-US"/>
        </w:rPr>
        <w:t>nfc</w:t>
      </w:r>
      <w:proofErr w:type="spellEnd"/>
      <w:r w:rsidR="00EC2C03" w:rsidRPr="00EC2C03">
        <w:t xml:space="preserve"> 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 xml:space="preserve">Τρεις πελάτες  </w:t>
      </w:r>
      <w:r w:rsidR="007C543C">
        <w:t>κάθονται στο τραπέζι</w:t>
      </w:r>
      <w:r w:rsidR="007C543C">
        <w:t xml:space="preserve">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εστιατόριο.</w:t>
      </w:r>
      <w:r>
        <w:t xml:space="preserve">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6F6C79E" w14:textId="5AC41B8C" w:rsidR="007C543C" w:rsidRPr="00AC23B1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2AE86D4F" w14:textId="3BCB0530" w:rsidR="00985AB7" w:rsidRDefault="007C543C" w:rsidP="00EC2C03">
      <w:pPr>
        <w:pStyle w:val="Heading2"/>
      </w:pPr>
      <w:r>
        <w:t xml:space="preserve"> </w:t>
      </w:r>
    </w:p>
    <w:p w14:paraId="6BC2CC11" w14:textId="77777777" w:rsidR="007C543C" w:rsidRPr="007C543C" w:rsidRDefault="007C543C" w:rsidP="007C543C"/>
    <w:sectPr w:rsidR="007C543C" w:rsidRPr="007C54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2F457F"/>
    <w:rsid w:val="00366E4C"/>
    <w:rsid w:val="00504144"/>
    <w:rsid w:val="005245BD"/>
    <w:rsid w:val="005448E0"/>
    <w:rsid w:val="006424AF"/>
    <w:rsid w:val="007C543C"/>
    <w:rsid w:val="00937FFD"/>
    <w:rsid w:val="00943811"/>
    <w:rsid w:val="00985AB7"/>
    <w:rsid w:val="00AC23B1"/>
    <w:rsid w:val="00C94536"/>
    <w:rsid w:val="00EC2C03"/>
    <w:rsid w:val="00FA4350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4</cp:revision>
  <dcterms:created xsi:type="dcterms:W3CDTF">2021-05-16T02:48:00Z</dcterms:created>
  <dcterms:modified xsi:type="dcterms:W3CDTF">2021-05-16T06:31:00Z</dcterms:modified>
</cp:coreProperties>
</file>