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ENTREGA FINAL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tiene como objetivo gestionar la información de una biblioteca, incluyendo detalles sobre los libros, los autores, los préstamos y los usuarios.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una base de datos que permita el mantenimiento eficiente de la información de la biblioteca, incluyendo el seguimiento de los préstamos y la disponibilidad de libros.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Situación Problemática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biblioteca actualmente no tiene un sistema centralizado para gestionar la información sobre los libros, préstamos y usuarios. Esto ha llevado a la pérdida ocasional de libros y dificultades en el seguimiento de los préstamos.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Modelo de Negocio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biblioteca cuenta con libros, autores, usuarios y realiza préstamos. Cada libro está asociado a un autor, y los préstamos son realizados por usuarios.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Diagrama E-R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Listado de las 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Libro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ID_Libro (PK): Identificador único del libro.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Título: Título del libro.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ISBN: Número de identificación único del libro.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ID_Autor (FK): Clave foránea que referencia al autor del libro.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Autor: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ID_Autor (PK): Identificador único del autor.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Nombre: Nombre del autor.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Apellido: Apellido del autor.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Usuario: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ID_Usuario (PK): Identificador único del usuario.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Nombre: Nombre del usuario.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Apellido: Apellido del usuario.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Email: Dirección de correo electrónico del usuario.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Prestamo: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ID_Prestamo (PK): Identificador único del préstamo.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ID_Libro (FK): Clave foránea que referencia al libro prestado.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ID_Usuario (FK): Clave foránea que referencia al usuario que realiza el préstamo.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Fecha_Prestamo: Fecha en que se realizó el préstamo.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Fecha_Devolucion: Fecha en que se espera que se devuelva el libro. Puede ser nula si el libro aún no se ha devuelto.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