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049EA">
      <w:pPr>
        <w:pStyle w:val="35"/>
      </w:pPr>
      <w:bookmarkStart w:id="0" w:name="_Toc459888455"/>
    </w:p>
    <w:p w14:paraId="791E4A28">
      <w:pPr>
        <w:pStyle w:val="35"/>
      </w:pPr>
      <w:r>
        <w:t>Índice</w:t>
      </w:r>
    </w:p>
    <w:p w14:paraId="3F9FB239">
      <w:pPr>
        <w:numPr>
          <w:ilvl w:val="0"/>
          <w:numId w:val="1"/>
        </w:numPr>
        <w:ind w:left="425" w:leftChars="0" w:hanging="425" w:firstLineChars="0"/>
      </w:pPr>
      <w:r>
        <w:t>Matriz de revisión de literatura</w:t>
      </w:r>
    </w:p>
    <w:p w14:paraId="0931A369">
      <w:pPr>
        <w:numPr>
          <w:ilvl w:val="0"/>
          <w:numId w:val="1"/>
        </w:numPr>
        <w:ind w:left="425" w:leftChars="0" w:hanging="425" w:firstLineChars="0"/>
      </w:pPr>
      <w:r>
        <w:t>Conclusiones</w:t>
      </w:r>
    </w:p>
    <w:p w14:paraId="2B1F39B0">
      <w:pPr>
        <w:numPr>
          <w:ilvl w:val="0"/>
          <w:numId w:val="1"/>
        </w:numPr>
        <w:ind w:left="425" w:leftChars="0" w:hanging="425" w:firstLineChars="0"/>
      </w:pPr>
      <w:r>
        <w:t>Referencias</w:t>
      </w:r>
    </w:p>
    <w:p w14:paraId="42E4F25F">
      <w:pPr>
        <w:numPr>
          <w:ilvl w:val="0"/>
          <w:numId w:val="1"/>
        </w:numPr>
        <w:ind w:left="425" w:leftChars="0" w:hanging="425" w:firstLineChars="0"/>
      </w:pPr>
      <w:r>
        <w:t>Anexo: Captura de pantalla del citador (Mendeley)</w:t>
      </w:r>
    </w:p>
    <w:p w14:paraId="64CA85C8">
      <w:pPr>
        <w:numPr>
          <w:ilvl w:val="0"/>
          <w:numId w:val="0"/>
        </w:numPr>
        <w:ind w:leftChars="0"/>
      </w:pPr>
    </w:p>
    <w:p w14:paraId="138106A5">
      <w:pPr>
        <w:pStyle w:val="35"/>
      </w:pPr>
    </w:p>
    <w:p w14:paraId="66984B68">
      <w:pPr>
        <w:pStyle w:val="35"/>
      </w:pPr>
    </w:p>
    <w:p w14:paraId="13F097D6">
      <w:pPr>
        <w:pStyle w:val="35"/>
      </w:pPr>
    </w:p>
    <w:p w14:paraId="0C56F84C">
      <w:pPr>
        <w:pStyle w:val="35"/>
      </w:pPr>
    </w:p>
    <w:p w14:paraId="3437A122">
      <w:pPr>
        <w:pStyle w:val="35"/>
      </w:pPr>
    </w:p>
    <w:p w14:paraId="0E7124CC">
      <w:pPr>
        <w:pStyle w:val="35"/>
      </w:pPr>
    </w:p>
    <w:p w14:paraId="1DD3D8C6">
      <w:pPr>
        <w:pStyle w:val="35"/>
      </w:pPr>
    </w:p>
    <w:p w14:paraId="34B9F6F9">
      <w:pPr>
        <w:pStyle w:val="35"/>
      </w:pPr>
    </w:p>
    <w:p w14:paraId="53F4FF1D">
      <w:pPr>
        <w:pStyle w:val="35"/>
      </w:pPr>
    </w:p>
    <w:p w14:paraId="716628EC">
      <w:pPr>
        <w:pStyle w:val="35"/>
      </w:pPr>
    </w:p>
    <w:p w14:paraId="30A3A9D5">
      <w:pPr>
        <w:pStyle w:val="35"/>
      </w:pPr>
    </w:p>
    <w:p w14:paraId="24B6C124">
      <w:pPr>
        <w:pStyle w:val="35"/>
      </w:pPr>
    </w:p>
    <w:p w14:paraId="407B03BB">
      <w:pPr>
        <w:pStyle w:val="35"/>
      </w:pPr>
    </w:p>
    <w:p w14:paraId="6C43A3C4">
      <w:pPr>
        <w:pStyle w:val="35"/>
      </w:pPr>
    </w:p>
    <w:p w14:paraId="2AADCA9C">
      <w:pPr>
        <w:pStyle w:val="35"/>
      </w:pPr>
    </w:p>
    <w:p w14:paraId="2950FFCE">
      <w:pPr>
        <w:pStyle w:val="35"/>
        <w:numPr>
          <w:ilvl w:val="0"/>
          <w:numId w:val="2"/>
        </w:numPr>
        <w:rPr>
          <w:bCs/>
        </w:rPr>
      </w:pPr>
      <w:r>
        <w:rPr>
          <w:rFonts w:hint="default"/>
        </w:rPr>
        <w:t>Matriz de revisión de literatura</w:t>
      </w:r>
      <w:r>
        <w:rPr>
          <w:rFonts w:hint="default"/>
          <w:lang w:val="es-CO"/>
        </w:rPr>
        <w:t xml:space="preserve"> </w:t>
      </w:r>
    </w:p>
    <w:tbl>
      <w:tblPr>
        <w:tblStyle w:val="36"/>
        <w:tblW w:w="9975" w:type="dxa"/>
        <w:tblInd w:w="-484" w:type="dxa"/>
        <w:tblBorders>
          <w:top w:val="single" w:color="0098CD" w:sz="4" w:space="0"/>
          <w:left w:val="single" w:color="0098CD" w:sz="4" w:space="0"/>
          <w:bottom w:val="single" w:color="0098CD" w:sz="4" w:space="0"/>
          <w:right w:val="single" w:color="0098CD" w:sz="4" w:space="0"/>
          <w:insideH w:val="single" w:color="0098CD" w:sz="4" w:space="0"/>
          <w:insideV w:val="single" w:color="0098C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370"/>
        <w:gridCol w:w="1980"/>
        <w:gridCol w:w="2040"/>
        <w:gridCol w:w="2400"/>
      </w:tblGrid>
      <w:tr w14:paraId="23CB5314">
        <w:tblPrEx>
          <w:tblBorders>
            <w:top w:val="single" w:color="0098CD" w:sz="4" w:space="0"/>
            <w:left w:val="single" w:color="0098CD" w:sz="4" w:space="0"/>
            <w:bottom w:val="single" w:color="0098CD" w:sz="4" w:space="0"/>
            <w:right w:val="single" w:color="0098CD" w:sz="4" w:space="0"/>
            <w:insideH w:val="single" w:color="0098CD" w:sz="4" w:space="0"/>
            <w:insideV w:val="single" w:color="0098C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0098CD"/>
            <w:vAlign w:val="center"/>
          </w:tcPr>
          <w:p w14:paraId="1E26F474">
            <w:pPr>
              <w:spacing w:line="240" w:lineRule="auto"/>
              <w:jc w:val="center"/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Cita (tipo)</w:t>
            </w:r>
          </w:p>
        </w:tc>
        <w:tc>
          <w:tcPr>
            <w:tcW w:w="2370" w:type="dxa"/>
            <w:shd w:val="clear" w:color="auto" w:fill="0098CD"/>
            <w:vAlign w:val="center"/>
          </w:tcPr>
          <w:p w14:paraId="577CC6E1">
            <w:pPr>
              <w:pStyle w:val="23"/>
              <w:spacing w:line="240" w:lineRule="auto"/>
              <w:ind w:left="0"/>
              <w:contextualSpacing w:val="0"/>
              <w:jc w:val="center"/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Objetivo del estudio</w:t>
            </w:r>
          </w:p>
        </w:tc>
        <w:tc>
          <w:tcPr>
            <w:tcW w:w="1980" w:type="dxa"/>
            <w:shd w:val="clear" w:color="auto" w:fill="0098CD"/>
            <w:vAlign w:val="center"/>
          </w:tcPr>
          <w:p w14:paraId="68E67D2D">
            <w:pPr>
              <w:pStyle w:val="23"/>
              <w:spacing w:line="240" w:lineRule="auto"/>
              <w:ind w:left="0"/>
              <w:contextualSpacing w:val="0"/>
              <w:jc w:val="center"/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Metodología del autor</w:t>
            </w:r>
          </w:p>
        </w:tc>
        <w:tc>
          <w:tcPr>
            <w:tcW w:w="2040" w:type="dxa"/>
            <w:shd w:val="clear" w:color="auto" w:fill="0098CD"/>
            <w:vAlign w:val="center"/>
          </w:tcPr>
          <w:p w14:paraId="6D5D2693">
            <w:pPr>
              <w:pStyle w:val="23"/>
              <w:spacing w:line="240" w:lineRule="auto"/>
              <w:ind w:left="0"/>
              <w:contextualSpacing w:val="0"/>
              <w:jc w:val="center"/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Variables utilizadas en el estudio</w:t>
            </w:r>
          </w:p>
        </w:tc>
        <w:tc>
          <w:tcPr>
            <w:tcW w:w="2400" w:type="dxa"/>
            <w:shd w:val="clear" w:color="auto" w:fill="0098CD"/>
            <w:vAlign w:val="center"/>
          </w:tcPr>
          <w:p w14:paraId="299DBF94">
            <w:pPr>
              <w:pStyle w:val="23"/>
              <w:spacing w:line="240" w:lineRule="auto"/>
              <w:ind w:left="0"/>
              <w:contextualSpacing w:val="0"/>
              <w:jc w:val="center"/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Hallazgos del autor</w:t>
            </w:r>
          </w:p>
        </w:tc>
      </w:tr>
      <w:tr w14:paraId="3CEE84AA">
        <w:tblPrEx>
          <w:tblBorders>
            <w:top w:val="single" w:color="0098CD" w:sz="4" w:space="0"/>
            <w:left w:val="single" w:color="0098CD" w:sz="4" w:space="0"/>
            <w:bottom w:val="single" w:color="0098CD" w:sz="4" w:space="0"/>
            <w:right w:val="single" w:color="0098CD" w:sz="4" w:space="0"/>
            <w:insideH w:val="single" w:color="0098CD" w:sz="4" w:space="0"/>
            <w:insideV w:val="single" w:color="0098C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8" w:hRule="atLeast"/>
        </w:trPr>
        <w:tc>
          <w:tcPr>
            <w:tcW w:w="1185" w:type="dxa"/>
            <w:shd w:val="clear" w:color="auto" w:fill="auto"/>
            <w:vAlign w:val="top"/>
          </w:tcPr>
          <w:p w14:paraId="4A3EF697">
            <w:pPr>
              <w:spacing w:line="360" w:lineRule="auto"/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Garattini, S. &amp; Benatar, S. R. (2000). (Libro)</w:t>
            </w:r>
          </w:p>
        </w:tc>
        <w:tc>
          <w:tcPr>
            <w:tcW w:w="2370" w:type="dxa"/>
            <w:shd w:val="clear" w:color="auto" w:fill="auto"/>
            <w:vAlign w:val="top"/>
          </w:tcPr>
          <w:p w14:paraId="6C86CDE7">
            <w:pPr>
              <w:spacing w:line="360" w:lineRule="auto"/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Examinar estándares éticos y científicos en la investigación y su aplicación práctica.</w:t>
            </w:r>
          </w:p>
        </w:tc>
        <w:tc>
          <w:tcPr>
            <w:tcW w:w="1980" w:type="dxa"/>
            <w:shd w:val="clear" w:color="auto" w:fill="auto"/>
            <w:vAlign w:val="top"/>
          </w:tcPr>
          <w:p w14:paraId="0A9608F6">
            <w:pPr>
              <w:spacing w:line="360" w:lineRule="auto"/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Revisión documental y análisis crítico de normas y prácticas históricas.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38E28A87">
            <w:pPr>
              <w:spacing w:line="360" w:lineRule="auto"/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Estándares éticos, buenas prácticas, comités de ética, protección de participantes.</w:t>
            </w:r>
          </w:p>
        </w:tc>
        <w:tc>
          <w:tcPr>
            <w:tcW w:w="2400" w:type="dxa"/>
            <w:shd w:val="clear" w:color="auto" w:fill="auto"/>
            <w:vAlign w:val="top"/>
          </w:tcPr>
          <w:p w14:paraId="65E9299E">
            <w:pPr>
              <w:spacing w:line="360" w:lineRule="auto"/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  <w:sz w:val="22"/>
                <w:szCs w:val="22"/>
              </w:rPr>
              <w:t>Señalan la necesidad de normas claras y estandarizadas; la ausencia de ética reduce la validez social de la investigación y genera posibles daños.</w:t>
            </w:r>
          </w:p>
        </w:tc>
      </w:tr>
      <w:tr w14:paraId="6B2ADC8E">
        <w:tblPrEx>
          <w:tblBorders>
            <w:top w:val="single" w:color="0098CD" w:sz="4" w:space="0"/>
            <w:left w:val="single" w:color="0098CD" w:sz="4" w:space="0"/>
            <w:bottom w:val="single" w:color="0098CD" w:sz="4" w:space="0"/>
            <w:right w:val="single" w:color="0098CD" w:sz="4" w:space="0"/>
            <w:insideH w:val="single" w:color="0098CD" w:sz="4" w:space="0"/>
            <w:insideV w:val="single" w:color="0098C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auto"/>
            <w:vAlign w:val="top"/>
          </w:tcPr>
          <w:p w14:paraId="256447AC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Koepsell, D. R. &amp; Ruiz de Chávez, M. H. (2015). (Libro)</w:t>
            </w:r>
          </w:p>
        </w:tc>
        <w:tc>
          <w:tcPr>
            <w:tcW w:w="2370" w:type="dxa"/>
            <w:shd w:val="clear" w:color="auto" w:fill="auto"/>
            <w:vAlign w:val="top"/>
          </w:tcPr>
          <w:p w14:paraId="131E6A21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Proponer una guía práctica para fomentar la integridad científica y la ética entre investigadores.</w:t>
            </w:r>
          </w:p>
        </w:tc>
        <w:tc>
          <w:tcPr>
            <w:tcW w:w="1980" w:type="dxa"/>
            <w:shd w:val="clear" w:color="auto" w:fill="auto"/>
            <w:vAlign w:val="top"/>
          </w:tcPr>
          <w:p w14:paraId="10DA22E6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Revisión teórica + análisis de casos de mala conducta (anecdótico-analítico).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1B7979CB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Integridad, mala conducta (fabricación, falsificación, plagio), códigos de conducta.</w:t>
            </w:r>
          </w:p>
        </w:tc>
        <w:tc>
          <w:tcPr>
            <w:tcW w:w="2400" w:type="dxa"/>
            <w:shd w:val="clear" w:color="auto" w:fill="auto"/>
            <w:vAlign w:val="top"/>
          </w:tcPr>
          <w:p w14:paraId="1E4228FB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Concluyen que la educación ética y la institucionalización de códigos fortalecen la confianza y previenen prácticas indebidas.</w:t>
            </w:r>
          </w:p>
        </w:tc>
      </w:tr>
      <w:tr w14:paraId="18DE0B4E">
        <w:tblPrEx>
          <w:tblBorders>
            <w:top w:val="single" w:color="0098CD" w:sz="4" w:space="0"/>
            <w:left w:val="single" w:color="0098CD" w:sz="4" w:space="0"/>
            <w:bottom w:val="single" w:color="0098CD" w:sz="4" w:space="0"/>
            <w:right w:val="single" w:color="0098CD" w:sz="4" w:space="0"/>
            <w:insideH w:val="single" w:color="0098CD" w:sz="4" w:space="0"/>
            <w:insideV w:val="single" w:color="0098C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auto"/>
            <w:vAlign w:val="top"/>
          </w:tcPr>
          <w:p w14:paraId="665C1657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Hirsch-Adler, A. &amp; Izarra-Vielma, D. A. (2024). (Artículo)</w:t>
            </w:r>
          </w:p>
        </w:tc>
        <w:tc>
          <w:tcPr>
            <w:tcW w:w="2370" w:type="dxa"/>
            <w:shd w:val="clear" w:color="auto" w:fill="auto"/>
            <w:vAlign w:val="top"/>
          </w:tcPr>
          <w:p w14:paraId="75D1F107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  <w:sz w:val="22"/>
                <w:szCs w:val="22"/>
              </w:rPr>
              <w:t>Identificar valores éticos que académicos de posgrado consideran esenciales para la investigación.</w:t>
            </w:r>
          </w:p>
        </w:tc>
        <w:tc>
          <w:tcPr>
            <w:tcW w:w="1980" w:type="dxa"/>
            <w:shd w:val="clear" w:color="auto" w:fill="auto"/>
            <w:vAlign w:val="top"/>
          </w:tcPr>
          <w:p w14:paraId="12188930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  <w:sz w:val="22"/>
                <w:szCs w:val="22"/>
              </w:rPr>
              <w:t>Estudio cuantitativo-transversal con cuestionario; análisis cualitativo de respuestas abiertas.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5253C2CA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Honestidad, responsabilidad, integridad, respeto, compromiso, pensamiento crítico.</w:t>
            </w:r>
          </w:p>
        </w:tc>
        <w:tc>
          <w:tcPr>
            <w:tcW w:w="2400" w:type="dxa"/>
            <w:shd w:val="clear" w:color="auto" w:fill="auto"/>
            <w:vAlign w:val="top"/>
          </w:tcPr>
          <w:p w14:paraId="72649CBE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Identifican un núcleo estable de valores y resaltan la necesidad de incorporarlos en la formación.</w:t>
            </w:r>
          </w:p>
        </w:tc>
      </w:tr>
      <w:tr w14:paraId="4D806D8A">
        <w:tblPrEx>
          <w:tblBorders>
            <w:top w:val="single" w:color="0098CD" w:sz="4" w:space="0"/>
            <w:left w:val="single" w:color="0098CD" w:sz="4" w:space="0"/>
            <w:bottom w:val="single" w:color="0098CD" w:sz="4" w:space="0"/>
            <w:right w:val="single" w:color="0098CD" w:sz="4" w:space="0"/>
            <w:insideH w:val="single" w:color="0098CD" w:sz="4" w:space="0"/>
            <w:insideV w:val="single" w:color="0098C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auto"/>
            <w:vAlign w:val="top"/>
          </w:tcPr>
          <w:p w14:paraId="23258449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Hirsch-Adler, A. (2020). (Artículo)</w:t>
            </w:r>
          </w:p>
        </w:tc>
        <w:tc>
          <w:tcPr>
            <w:tcW w:w="2370" w:type="dxa"/>
            <w:shd w:val="clear" w:color="auto" w:fill="auto"/>
            <w:vAlign w:val="top"/>
          </w:tcPr>
          <w:p w14:paraId="4D7E1A7D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Explorar y categorizar los dilemas éticos que enfrentan académicos de la UNAM en investigación.</w:t>
            </w:r>
          </w:p>
        </w:tc>
        <w:tc>
          <w:tcPr>
            <w:tcW w:w="1980" w:type="dxa"/>
            <w:shd w:val="clear" w:color="auto" w:fill="auto"/>
            <w:vAlign w:val="top"/>
          </w:tcPr>
          <w:p w14:paraId="09D39357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Investigación cualitativa: entrevistas semiestructuradas; codificación inductiva.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6B4072FA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Dilemas de autoría, confidencialidad, conflicto de interés, publicación, relaciones mentor-mentee.</w:t>
            </w:r>
          </w:p>
        </w:tc>
        <w:tc>
          <w:tcPr>
            <w:tcW w:w="2400" w:type="dxa"/>
            <w:shd w:val="clear" w:color="auto" w:fill="auto"/>
            <w:vAlign w:val="top"/>
          </w:tcPr>
          <w:p w14:paraId="57C34664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Identifica 12 categorías de dilemas; muestra la complejidad práctica de aplicar normas éticas y la necesidad de formación y espacios de deliberación.</w:t>
            </w:r>
          </w:p>
        </w:tc>
      </w:tr>
      <w:tr w14:paraId="794F6F4D">
        <w:tblPrEx>
          <w:tblBorders>
            <w:top w:val="single" w:color="0098CD" w:sz="4" w:space="0"/>
            <w:left w:val="single" w:color="0098CD" w:sz="4" w:space="0"/>
            <w:bottom w:val="single" w:color="0098CD" w:sz="4" w:space="0"/>
            <w:right w:val="single" w:color="0098CD" w:sz="4" w:space="0"/>
            <w:insideH w:val="single" w:color="0098CD" w:sz="4" w:space="0"/>
            <w:insideV w:val="single" w:color="0098C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auto"/>
            <w:vAlign w:val="top"/>
          </w:tcPr>
          <w:p w14:paraId="06496124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  <w:sz w:val="22"/>
                <w:szCs w:val="22"/>
              </w:rPr>
              <w:t>Elizalde Rivera et al. (2020) (Artículo)</w:t>
            </w:r>
          </w:p>
        </w:tc>
        <w:tc>
          <w:tcPr>
            <w:tcW w:w="2370" w:type="dxa"/>
            <w:shd w:val="clear" w:color="auto" w:fill="auto"/>
            <w:vAlign w:val="top"/>
          </w:tcPr>
          <w:p w14:paraId="75F1EC92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  <w:sz w:val="22"/>
                <w:szCs w:val="22"/>
              </w:rPr>
              <w:t>Analizar la importancia de los principios éticos en toda investigación.</w:t>
            </w:r>
          </w:p>
        </w:tc>
        <w:tc>
          <w:tcPr>
            <w:tcW w:w="1980" w:type="dxa"/>
            <w:shd w:val="clear" w:color="auto" w:fill="auto"/>
            <w:vAlign w:val="top"/>
          </w:tcPr>
          <w:p w14:paraId="00BEFACD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  <w:sz w:val="22"/>
                <w:szCs w:val="22"/>
              </w:rPr>
              <w:t>Revisión bibliográfica comparativa.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72E307D8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</w:rPr>
              <w:t>Principios éticos, ética en investigación, validez de resultados.</w:t>
            </w:r>
          </w:p>
        </w:tc>
        <w:tc>
          <w:tcPr>
            <w:tcW w:w="2400" w:type="dxa"/>
            <w:shd w:val="clear" w:color="auto" w:fill="auto"/>
            <w:vAlign w:val="top"/>
          </w:tcPr>
          <w:p w14:paraId="2B2D0671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rFonts w:hint="default"/>
                <w:sz w:val="22"/>
                <w:szCs w:val="22"/>
              </w:rPr>
              <w:t>La ética es clave para la credibilidad de la ciencia y facilita la reutilización de datos.</w:t>
            </w:r>
          </w:p>
        </w:tc>
      </w:tr>
      <w:tr w14:paraId="782ADBF3">
        <w:tblPrEx>
          <w:tblBorders>
            <w:top w:val="single" w:color="0098CD" w:sz="4" w:space="0"/>
            <w:left w:val="single" w:color="0098CD" w:sz="4" w:space="0"/>
            <w:bottom w:val="single" w:color="0098CD" w:sz="4" w:space="0"/>
            <w:right w:val="single" w:color="0098CD" w:sz="4" w:space="0"/>
            <w:insideH w:val="single" w:color="0098CD" w:sz="4" w:space="0"/>
            <w:insideV w:val="single" w:color="0098C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auto"/>
            <w:vAlign w:val="top"/>
          </w:tcPr>
          <w:p w14:paraId="5A504C12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de Lecuona, I. (2020). (Artículo)</w:t>
            </w:r>
          </w:p>
        </w:tc>
        <w:tc>
          <w:tcPr>
            <w:tcW w:w="2370" w:type="dxa"/>
            <w:shd w:val="clear" w:color="auto" w:fill="auto"/>
            <w:vAlign w:val="top"/>
          </w:tcPr>
          <w:p w14:paraId="0F7E2EB0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Analizar cómo las universidades regulan y promueven la integridad científica (estudio comparativo LERU + caso UB).</w:t>
            </w:r>
          </w:p>
        </w:tc>
        <w:tc>
          <w:tcPr>
            <w:tcW w:w="1980" w:type="dxa"/>
            <w:shd w:val="clear" w:color="auto" w:fill="auto"/>
            <w:vAlign w:val="top"/>
          </w:tcPr>
          <w:p w14:paraId="75336A2F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Revisión documental comparativa y estudio de caso.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68CE7BBC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Códigos institucionales, prácticas de RRI, formación en integridad, mecanismos de denuncia.</w:t>
            </w:r>
          </w:p>
        </w:tc>
        <w:tc>
          <w:tcPr>
            <w:tcW w:w="2400" w:type="dxa"/>
            <w:shd w:val="clear" w:color="auto" w:fill="auto"/>
            <w:vAlign w:val="top"/>
          </w:tcPr>
          <w:p w14:paraId="48030E16">
            <w:pPr>
              <w:jc w:val="left"/>
              <w:rPr>
                <w:rFonts w:ascii="Calibri" w:hAnsi="Calibri" w:eastAsia="Times New Roman" w:cs="Times New Roman"/>
                <w:color w:val="333333"/>
                <w:sz w:val="22"/>
                <w:szCs w:val="22"/>
                <w:lang w:val="es-ES" w:eastAsia="es-ES" w:bidi="ar-SA"/>
              </w:rPr>
            </w:pPr>
            <w:r>
              <w:rPr>
                <w:sz w:val="22"/>
                <w:szCs w:val="22"/>
              </w:rPr>
              <w:t>Casi todas las universidades LERU tienen códigos; se recomienda pasar a enfoques de RRI, mayor formación y transparencia institucional.</w:t>
            </w:r>
          </w:p>
        </w:tc>
      </w:tr>
    </w:tbl>
    <w:p w14:paraId="1327E226">
      <w:pPr>
        <w:pStyle w:val="23"/>
        <w:ind w:left="284"/>
      </w:pPr>
    </w:p>
    <w:bookmarkEnd w:id="0"/>
    <w:p w14:paraId="48A48DA8">
      <w:pPr>
        <w:pStyle w:val="35"/>
        <w:numPr>
          <w:ilvl w:val="0"/>
          <w:numId w:val="0"/>
        </w:numPr>
        <w:rPr>
          <w:bCs/>
        </w:rPr>
      </w:pPr>
    </w:p>
    <w:p w14:paraId="63C23F23">
      <w:pPr>
        <w:pStyle w:val="35"/>
        <w:numPr>
          <w:ilvl w:val="0"/>
          <w:numId w:val="2"/>
        </w:numPr>
        <w:rPr>
          <w:bCs/>
        </w:rPr>
      </w:pPr>
      <w:r>
        <w:rPr>
          <w:rFonts w:hint="default"/>
          <w:lang w:val="es-CO"/>
        </w:rPr>
        <w:t>Conclusiones</w:t>
      </w:r>
    </w:p>
    <w:p w14:paraId="4861D738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lang w:val="es-CO"/>
        </w:rPr>
      </w:pPr>
      <w:bookmarkStart w:id="1" w:name="_GoBack"/>
      <w:bookmarkEnd w:id="1"/>
      <w:r>
        <w:rPr>
          <w:rFonts w:hint="default"/>
          <w:lang w:val="es-CO"/>
        </w:rPr>
        <w:t>La revisión de la literatura muestra que la ética y la integridad científica son pilares fundamentales que afectan directamente la calidad, legitimidad y aceptación social de la investigación. Autores como Garattini y Benatar (2000), así como Koepsell y Ruiz de Chávez (2015), sostienen que la falta de estándares bien aplicados puede erosionar la confianza pública y generar daños. Estudios empíricos como los de Hirsch-Adler e Izarra-Vielma (2024) refuerzan la importancia de valores como la honestidad, la integridad y el respeto, indicando que deben ser enseñados y reforzados durante toda la carrera investigadora.</w:t>
      </w:r>
    </w:p>
    <w:p w14:paraId="65E8F6EE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lang w:val="es-CO"/>
        </w:rPr>
      </w:pPr>
    </w:p>
    <w:p w14:paraId="6B6DA94A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lang w:val="es-CO"/>
        </w:rPr>
      </w:pPr>
      <w:r>
        <w:rPr>
          <w:rFonts w:hint="default"/>
          <w:lang w:val="es-CO"/>
        </w:rPr>
        <w:t>Esta actividad me permitió comprender que la ética en investigación no es únicamente normativa, sino una práctica compleja que requiere valores personales, estructuras institucionales sólidas y formación continua. Aprendí a diferenciar entre enfoques teóricos y estudios empíricos, valorar la adaptación de estrategias éticas según el contexto cultural e institucional, y reconocer la utilidad de herramientas como Mendeley para organizar referencias y garantizar precisión en la citación.</w:t>
      </w:r>
    </w:p>
    <w:p w14:paraId="4EA68368">
      <w:pPr>
        <w:pStyle w:val="35"/>
        <w:numPr>
          <w:ilvl w:val="0"/>
          <w:numId w:val="2"/>
        </w:numPr>
        <w:rPr>
          <w:bCs/>
        </w:rPr>
      </w:pPr>
      <w:r>
        <w:rPr>
          <w:rFonts w:hint="default"/>
          <w:bCs/>
          <w:lang w:val="es-CO"/>
        </w:rPr>
        <w:t>Referencias</w:t>
      </w:r>
    </w:p>
    <w:p w14:paraId="7F9EE449">
      <w:pPr>
        <w:numPr>
          <w:ilvl w:val="0"/>
          <w:numId w:val="3"/>
        </w:numPr>
        <w:ind w:left="420" w:leftChars="0" w:hanging="420" w:firstLineChars="0"/>
      </w:pPr>
      <w:r>
        <w:t xml:space="preserve">Garattini, S., &amp; Benatar, S. R. (2000). Estándares éticos y científicos en la investigación (Cuadernos de la Fundació Víctor Grífols i Lucas, nº 2). Fundació Víctor Grífols i Lucas. </w:t>
      </w:r>
      <w:r>
        <w:fldChar w:fldCharType="begin"/>
      </w:r>
      <w:r>
        <w:instrText xml:space="preserve"> HYPERLINK "https://bv.unir.net:2769/es/lc/unir/titulos/30603" </w:instrText>
      </w:r>
      <w:r>
        <w:fldChar w:fldCharType="separate"/>
      </w:r>
      <w:r>
        <w:rPr>
          <w:rStyle w:val="6"/>
        </w:rPr>
        <w:t>https://bv.unir.net:2769/es/lc/unir/titulos/30603</w:t>
      </w:r>
      <w:r>
        <w:fldChar w:fldCharType="end"/>
      </w:r>
    </w:p>
    <w:p w14:paraId="676265CF"/>
    <w:p w14:paraId="172BF85A">
      <w:pPr>
        <w:numPr>
          <w:ilvl w:val="0"/>
          <w:numId w:val="3"/>
        </w:numPr>
        <w:ind w:left="420" w:leftChars="0" w:hanging="420" w:firstLineChars="0"/>
      </w:pPr>
      <w:r>
        <w:t>Koepsell, D. R., &amp; Ruiz de Chávez, M. H. (2015). Ética de la investigación: integridad científica. Secretaría de Salud — Comisión Nacional de Bioética.</w:t>
      </w:r>
      <w:r>
        <w:rPr>
          <w:rFonts w:hint="default"/>
          <w:lang w:val="es-CO"/>
        </w:rPr>
        <w:t xml:space="preserve"> </w:t>
      </w:r>
      <w:r>
        <w:rPr>
          <w:rFonts w:hint="default"/>
          <w:lang w:val="es-CO"/>
        </w:rPr>
        <w:fldChar w:fldCharType="begin"/>
      </w:r>
      <w:r>
        <w:rPr>
          <w:rFonts w:hint="default"/>
          <w:lang w:val="es-CO"/>
        </w:rPr>
        <w:instrText xml:space="preserve"> HYPERLINK "https://www.conbioetica-mexico.salud.gob.mx/descargas/pdf/Libro_Etica_de_la_Investigacion_gratuito.pdf" </w:instrText>
      </w:r>
      <w:r>
        <w:rPr>
          <w:rFonts w:hint="default"/>
          <w:lang w:val="es-CO"/>
        </w:rPr>
        <w:fldChar w:fldCharType="separate"/>
      </w:r>
      <w:r>
        <w:rPr>
          <w:rStyle w:val="6"/>
          <w:rFonts w:hint="default"/>
          <w:lang w:val="es-CO"/>
        </w:rPr>
        <w:t>https://www.conbioetica-mexico.salud.gob.mx/descargas/pdf/Libro_Etica_de_la_Investigacion_gratuito.pdf</w:t>
      </w:r>
      <w:r>
        <w:rPr>
          <w:rFonts w:hint="default"/>
          <w:lang w:val="es-CO"/>
        </w:rPr>
        <w:fldChar w:fldCharType="end"/>
      </w:r>
    </w:p>
    <w:p w14:paraId="57A6B765"/>
    <w:p w14:paraId="59BE9176">
      <w:pPr>
        <w:numPr>
          <w:ilvl w:val="0"/>
          <w:numId w:val="3"/>
        </w:numPr>
        <w:ind w:left="420" w:leftChars="0" w:hanging="420" w:firstLineChars="0"/>
      </w:pPr>
      <w:r>
        <w:t xml:space="preserve">Hirsch-Adler, A., &amp; Izarra-Vielma, D. A. (2024). Valores de la investigación expresados por académicos de posgrado de una universidad mexicana. Sisyphus – Journal of Education, 12(2), 55–77. </w:t>
      </w:r>
      <w:r>
        <w:fldChar w:fldCharType="begin"/>
      </w:r>
      <w:r>
        <w:instrText xml:space="preserve"> HYPERLINK "https://doi.org/10.25749/sis.34614" </w:instrText>
      </w:r>
      <w:r>
        <w:fldChar w:fldCharType="separate"/>
      </w:r>
      <w:r>
        <w:rPr>
          <w:rStyle w:val="6"/>
        </w:rPr>
        <w:t>https://doi.org/10.25749/sis.34614</w:t>
      </w:r>
      <w:r>
        <w:fldChar w:fldCharType="end"/>
      </w:r>
    </w:p>
    <w:p w14:paraId="5341659A"/>
    <w:p w14:paraId="5A8FC671">
      <w:pPr>
        <w:numPr>
          <w:ilvl w:val="0"/>
          <w:numId w:val="3"/>
        </w:numPr>
        <w:ind w:left="420" w:leftChars="0" w:hanging="420" w:firstLineChars="0"/>
      </w:pPr>
      <w:r>
        <w:t xml:space="preserve">Hirsch-Adler, A. (2020). Dilemas éticos expresados por académicos de la Universidad Nacional Autónoma de México. Sinéctica, (54), e1025. </w:t>
      </w:r>
      <w:r>
        <w:fldChar w:fldCharType="begin"/>
      </w:r>
      <w:r>
        <w:instrText xml:space="preserve"> HYPERLINK "https://doi.org/10.31391/S2007-7033(2020)0054-009" </w:instrText>
      </w:r>
      <w:r>
        <w:fldChar w:fldCharType="separate"/>
      </w:r>
      <w:r>
        <w:rPr>
          <w:rStyle w:val="6"/>
        </w:rPr>
        <w:t>https://doi.org/10.31391/S2007-7033(2020)0054-009</w:t>
      </w:r>
      <w:r>
        <w:fldChar w:fldCharType="end"/>
      </w:r>
    </w:p>
    <w:p w14:paraId="1E318EE8"/>
    <w:p w14:paraId="26AEAC23">
      <w:pPr>
        <w:numPr>
          <w:ilvl w:val="0"/>
          <w:numId w:val="4"/>
        </w:numPr>
        <w:ind w:left="420" w:leftChars="0" w:hanging="420" w:firstLineChars="0"/>
        <w:jc w:val="left"/>
      </w:pPr>
      <w:r>
        <w:rPr>
          <w:rFonts w:hint="default"/>
        </w:rPr>
        <w:t>González, J. F. (2025). Imaginarios sociales en la educación inclusiva. Imaginario Social, 5(2), 123–135. https://www.revista-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"https://www.revista-imaginariosocial.com/index.php/es/article/view/4"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imaginariosocial.com/index.php/es/article/view/4</w:t>
      </w:r>
      <w:r>
        <w:rPr>
          <w:rFonts w:hint="default"/>
        </w:rPr>
        <w:fldChar w:fldCharType="end"/>
      </w:r>
    </w:p>
    <w:p w14:paraId="1F3046EA">
      <w:pPr>
        <w:numPr>
          <w:ilvl w:val="0"/>
          <w:numId w:val="0"/>
        </w:numPr>
        <w:ind w:leftChars="0"/>
        <w:jc w:val="left"/>
      </w:pPr>
    </w:p>
    <w:p w14:paraId="2C7549D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s-CO"/>
        </w:rPr>
      </w:pPr>
      <w:r>
        <w:t>de Lecuona, I. (2020). La integridad científica en las instituciones de educación superior en el siglo XXI. ilemata, Revista Internacional de Éticas Aplicadas, 12(31), 95–107.</w:t>
      </w:r>
      <w:r>
        <w:rPr>
          <w:rFonts w:hint="default"/>
          <w:lang w:val="es-CO"/>
        </w:rPr>
        <w:t xml:space="preserve"> </w:t>
      </w:r>
      <w:r>
        <w:rPr>
          <w:rFonts w:hint="default"/>
          <w:lang w:val="es-CO"/>
        </w:rPr>
        <w:fldChar w:fldCharType="begin"/>
      </w:r>
      <w:r>
        <w:rPr>
          <w:rFonts w:hint="default"/>
          <w:lang w:val="es-CO"/>
        </w:rPr>
        <w:instrText xml:space="preserve"> HYPERLINK "https://www.dilemata.net/revista/index.php/dilemata/article/view/412000332" </w:instrText>
      </w:r>
      <w:r>
        <w:rPr>
          <w:rFonts w:hint="default"/>
          <w:lang w:val="es-CO"/>
        </w:rPr>
        <w:fldChar w:fldCharType="separate"/>
      </w:r>
      <w:r>
        <w:rPr>
          <w:rStyle w:val="6"/>
          <w:rFonts w:hint="default"/>
          <w:lang w:val="es-CO"/>
        </w:rPr>
        <w:t>https://www.dilemata.net/revista/index.php/dilemata/article/view/412000332</w:t>
      </w:r>
      <w:r>
        <w:rPr>
          <w:rFonts w:hint="default"/>
          <w:lang w:val="es-CO"/>
        </w:rPr>
        <w:fldChar w:fldCharType="end"/>
      </w:r>
    </w:p>
    <w:p w14:paraId="65B41F8F">
      <w:pPr>
        <w:pStyle w:val="35"/>
        <w:numPr>
          <w:ilvl w:val="0"/>
          <w:numId w:val="0"/>
        </w:numPr>
        <w:rPr>
          <w:bCs/>
        </w:rPr>
      </w:pPr>
    </w:p>
    <w:p w14:paraId="3151070D">
      <w:pPr>
        <w:pStyle w:val="35"/>
        <w:numPr>
          <w:ilvl w:val="0"/>
          <w:numId w:val="2"/>
        </w:numPr>
        <w:rPr>
          <w:bCs/>
        </w:rPr>
      </w:pPr>
      <w:r>
        <w:rPr>
          <w:rFonts w:hint="default"/>
          <w:bCs/>
          <w:lang w:val="es-CO"/>
        </w:rPr>
        <w:t>Anexo: Captura de pantalla del citador (Mendeley)</w:t>
      </w:r>
    </w:p>
    <w:p w14:paraId="7AEDD89D">
      <w:pPr>
        <w:spacing w:after="160" w:line="259" w:lineRule="auto"/>
        <w:jc w:val="left"/>
        <w:rPr>
          <w:rFonts w:cs="UnitOT-Light"/>
        </w:rPr>
      </w:pPr>
      <w:r>
        <w:drawing>
          <wp:inline distT="0" distB="0" distL="114300" distR="114300">
            <wp:extent cx="5207635" cy="2654300"/>
            <wp:effectExtent l="0" t="0" r="12065" b="1270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560" w:right="1843" w:bottom="1418" w:left="1843" w:header="1134" w:footer="39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nitOT-Light">
    <w:altName w:val="Segoe Print"/>
    <w:panose1 w:val="00000000000000000000"/>
    <w:charset w:val="00"/>
    <w:family w:val="swiss"/>
    <w:pitch w:val="default"/>
    <w:sig w:usb0="00000000" w:usb1="00000000" w:usb2="00000028" w:usb3="00000000" w:csb0="00000001" w:csb1="00000000"/>
  </w:font>
  <w:font w:name="UnitOT-Medi">
    <w:altName w:val="Arial"/>
    <w:panose1 w:val="00000000000000000000"/>
    <w:charset w:val="00"/>
    <w:family w:val="swiss"/>
    <w:pitch w:val="default"/>
    <w:sig w:usb0="00000000" w:usb1="00000000" w:usb2="00000028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E6CA8">
    <w:pPr>
      <w:pStyle w:val="16"/>
      <w:ind w:firstLine="0"/>
      <w:jc w:val="both"/>
    </w:pPr>
    <w:r>
      <mc:AlternateContent>
        <mc:Choice Requires="wps">
          <w:drawing>
            <wp:anchor distT="0" distB="0" distL="114300" distR="252095" simplePos="0" relativeHeight="251659264" behindDoc="1" locked="0" layoutInCell="1" allowOverlap="0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1460" cy="612140"/>
              <wp:effectExtent l="0" t="0" r="0" b="0"/>
              <wp:wrapTight wrapText="bothSides">
                <wp:wrapPolygon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14.4pt;margin-top:793.1pt;height:48.2pt;width:19.8pt;mso-position-horizontal-relative:page;mso-position-vertical-relative:page;mso-wrap-distance-left:9pt;mso-wrap-distance-right:19.85pt;z-index:-251657216;mso-width-relative:page;mso-height-relative:page;" fillcolor="#0098CD" filled="t" stroked="f" coordsize="21600,21600" wrapcoords="0 0 0 20860 19636 20860 19636 0 0 0" o:allowoverlap="f" o:gfxdata="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zR3e7ZAAAACwEAAA8AAAAAAAAAAQAgAAAAIgAAAGRycy9kb3du&#10;cmV2LnhtbFBLAQIUABQAAAAIAIdO4kAsD5IYcAIAANMEAAAOAAAAAAAAAAEAIAAAACgBAABkcnMv&#10;ZTJvRG9jLnhtbFBLBQYAAAAABgAGAFkBAAAKBgAAAAA=&#10;">
              <v:fill on="t" focussize="0,0"/>
              <v:stroke on="f" weight="1pt" miterlimit="8" joinstyle="miter"/>
              <v:imagedata o:title=""/>
              <o:lock v:ext="edit" aspectratio="f"/>
              <v:textbox inset="0mm,4mm,0mm,1.27mm">
                <w:txbxContent>
                  <w:p w14:paraId="00F583F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PAGE   \* MERGEFORMAT</w:instrText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tight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>
                          <w:pPr>
                            <w:pStyle w:val="17"/>
                            <w:ind w:right="180"/>
                          </w:pPr>
                          <w:r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74.3pt;margin-top:733.95pt;height:25.4pt;width:189.05pt;mso-position-vertical-relative:page;rotation:-5898240f;z-index:251660288;v-text-anchor:bottom;mso-width-relative:page;mso-height-relative:page;" filled="f" stroked="f" coordsize="21600,21600" o:gfxdata="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MBPCzbAAAADQEAAA8AAAAAAAAAAQAgAAAAIgAAAGRycy9k&#10;b3ducmV2LnhtbFBLAQIUABQAAAAIAIdO4kAzrrh+OAIAAHsEAAAOAAAAAAAAAAEAIAAAACo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77C3E350">
                    <w:pPr>
                      <w:pStyle w:val="17"/>
                      <w:ind w:right="180"/>
                    </w:pPr>
                    <w:r>
                      <w:t>© Universidad Internacional de La Rioja (UNIR)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3AB4D83">
    <w:pPr>
      <w:pStyle w:val="15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7"/>
      <w:tblW w:w="0" w:type="auto"/>
      <w:jc w:val="center"/>
      <w:tblBorders>
        <w:top w:val="single" w:color="0098CD" w:sz="4" w:space="0"/>
        <w:left w:val="none" w:color="auto" w:sz="0" w:space="0"/>
        <w:bottom w:val="single" w:color="0098CD" w:sz="4" w:space="0"/>
        <w:right w:val="none" w:color="auto" w:sz="0" w:space="0"/>
        <w:insideH w:val="single" w:color="0098CD" w:sz="4" w:space="0"/>
        <w:insideV w:val="single" w:color="0098CD" w:sz="4" w:space="0"/>
      </w:tblBorders>
      <w:tblLayout w:type="autofit"/>
      <w:tblCellMar>
        <w:top w:w="11" w:type="dxa"/>
        <w:left w:w="108" w:type="dxa"/>
        <w:bottom w:w="11" w:type="dxa"/>
        <w:right w:w="108" w:type="dxa"/>
      </w:tblCellMar>
    </w:tblPr>
    <w:tblGrid>
      <w:gridCol w:w="2552"/>
      <w:gridCol w:w="3827"/>
      <w:gridCol w:w="1831"/>
    </w:tblGrid>
    <w:tr w14:paraId="6D3A1AC8">
      <w:tblPrEx>
        <w:tblBorders>
          <w:top w:val="single" w:color="0098CD" w:sz="4" w:space="0"/>
          <w:left w:val="none" w:color="auto" w:sz="0" w:space="0"/>
          <w:bottom w:val="single" w:color="0098CD" w:sz="4" w:space="0"/>
          <w:right w:val="none" w:color="auto" w:sz="0" w:space="0"/>
          <w:insideH w:val="single" w:color="0098CD" w:sz="4" w:space="0"/>
          <w:insideV w:val="single" w:color="0098CD" w:sz="4" w:space="0"/>
        </w:tblBorders>
        <w:tblCellMar>
          <w:top w:w="11" w:type="dxa"/>
          <w:left w:w="108" w:type="dxa"/>
          <w:bottom w:w="11" w:type="dxa"/>
          <w:right w:w="108" w:type="dxa"/>
        </w:tblCellMar>
      </w:tblPrEx>
      <w:trPr>
        <w:trHeight w:val="283" w:hRule="atLeast"/>
        <w:tblHeader/>
        <w:jc w:val="center"/>
      </w:trPr>
      <w:tc>
        <w:tcPr>
          <w:tcW w:w="2552" w:type="dxa"/>
          <w:shd w:val="clear" w:color="auto" w:fill="E6F4F9"/>
          <w:vAlign w:val="center"/>
        </w:tcPr>
        <w:p w14:paraId="391A4A1D">
          <w:pPr>
            <w:pStyle w:val="12"/>
            <w:jc w:val="center"/>
            <w:rPr>
              <w:rFonts w:cs="UnitOT-Medi"/>
              <w:b w:val="0"/>
              <w:color w:val="0098CD"/>
              <w:sz w:val="22"/>
              <w:szCs w:val="22"/>
            </w:rPr>
          </w:pPr>
          <w:r>
            <w:rPr>
              <w:rFonts w:cs="UnitOT-Medi"/>
              <w:b w:val="0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shd w:val="clear" w:color="auto" w:fill="E6F4F9"/>
          <w:vAlign w:val="center"/>
        </w:tcPr>
        <w:p w14:paraId="409A181F">
          <w:pPr>
            <w:pStyle w:val="12"/>
            <w:jc w:val="center"/>
            <w:rPr>
              <w:rFonts w:cs="UnitOT-Medi"/>
              <w:b w:val="0"/>
              <w:color w:val="0098CD"/>
              <w:sz w:val="22"/>
              <w:szCs w:val="22"/>
            </w:rPr>
          </w:pPr>
          <w:r>
            <w:rPr>
              <w:rFonts w:cs="UnitOT-Medi"/>
              <w:b w:val="0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shd w:val="clear" w:color="auto" w:fill="E6F4F9"/>
          <w:vAlign w:val="center"/>
        </w:tcPr>
        <w:p w14:paraId="729C3214">
          <w:pPr>
            <w:pStyle w:val="12"/>
            <w:jc w:val="center"/>
            <w:rPr>
              <w:rFonts w:cs="UnitOT-Medi"/>
              <w:b w:val="0"/>
              <w:color w:val="0098CD"/>
              <w:sz w:val="22"/>
              <w:szCs w:val="22"/>
            </w:rPr>
          </w:pPr>
          <w:r>
            <w:rPr>
              <w:rFonts w:cs="UnitOT-Medi"/>
              <w:b w:val="0"/>
              <w:color w:val="0098CD"/>
              <w:sz w:val="22"/>
              <w:szCs w:val="22"/>
            </w:rPr>
            <w:t>Fecha</w:t>
          </w:r>
        </w:p>
      </w:tc>
    </w:tr>
    <w:tr w14:paraId="3CED4770">
      <w:tblPrEx>
        <w:tblBorders>
          <w:top w:val="single" w:color="0098CD" w:sz="4" w:space="0"/>
          <w:left w:val="none" w:color="auto" w:sz="0" w:space="0"/>
          <w:bottom w:val="single" w:color="0098CD" w:sz="4" w:space="0"/>
          <w:right w:val="none" w:color="auto" w:sz="0" w:space="0"/>
          <w:insideH w:val="single" w:color="0098CD" w:sz="4" w:space="0"/>
          <w:insideV w:val="single" w:color="0098CD" w:sz="4" w:space="0"/>
        </w:tblBorders>
        <w:tblCellMar>
          <w:top w:w="11" w:type="dxa"/>
          <w:left w:w="108" w:type="dxa"/>
          <w:bottom w:w="11" w:type="dxa"/>
          <w:right w:w="108" w:type="dxa"/>
        </w:tblCellMar>
      </w:tblPrEx>
      <w:trPr>
        <w:trHeight w:val="342" w:hRule="atLeast"/>
        <w:jc w:val="center"/>
      </w:trPr>
      <w:tc>
        <w:tcPr>
          <w:tcW w:w="2552" w:type="dxa"/>
          <w:vMerge w:val="restart"/>
          <w:shd w:val="clear" w:color="auto" w:fill="FFFFFF" w:themeFill="background1"/>
          <w:vAlign w:val="center"/>
        </w:tcPr>
        <w:p w14:paraId="69224BB0">
          <w:pPr>
            <w:pStyle w:val="48"/>
          </w:pPr>
          <w:r>
            <w:t>Metodología de la Investigación</w:t>
          </w:r>
        </w:p>
      </w:tc>
      <w:tc>
        <w:tcPr>
          <w:tcW w:w="3827" w:type="dxa"/>
          <w:shd w:val="clear" w:color="auto" w:fill="FFFFFF" w:themeFill="background1"/>
          <w:vAlign w:val="center"/>
        </w:tcPr>
        <w:p w14:paraId="63BE8177">
          <w:pPr>
            <w:pStyle w:val="12"/>
            <w:rPr>
              <w:rFonts w:hint="default"/>
              <w:sz w:val="22"/>
              <w:szCs w:val="22"/>
              <w:lang w:val="es-CO"/>
            </w:rPr>
          </w:pPr>
          <w:r>
            <w:rPr>
              <w:sz w:val="22"/>
              <w:szCs w:val="22"/>
            </w:rPr>
            <w:t xml:space="preserve">Apellidos: </w:t>
          </w:r>
          <w:r>
            <w:rPr>
              <w:rFonts w:hint="default"/>
              <w:sz w:val="22"/>
              <w:szCs w:val="22"/>
              <w:lang w:val="es-CO"/>
            </w:rPr>
            <w:t>Jimenez Acosta</w:t>
          </w:r>
        </w:p>
      </w:tc>
      <w:tc>
        <w:tcPr>
          <w:tcW w:w="1831" w:type="dxa"/>
          <w:vMerge w:val="restart"/>
          <w:shd w:val="clear" w:color="auto" w:fill="FFFFFF" w:themeFill="background1"/>
          <w:vAlign w:val="center"/>
        </w:tcPr>
        <w:p w14:paraId="1E79ACF7">
          <w:pPr>
            <w:pStyle w:val="12"/>
            <w:jc w:val="center"/>
            <w:rPr>
              <w:rFonts w:asciiTheme="minorHAnsi" w:hAnsiTheme="minorHAnsi"/>
            </w:rPr>
          </w:pPr>
        </w:p>
      </w:tc>
    </w:tr>
    <w:tr w14:paraId="445B7578">
      <w:tblPrEx>
        <w:tblBorders>
          <w:top w:val="single" w:color="0098CD" w:sz="4" w:space="0"/>
          <w:left w:val="none" w:color="auto" w:sz="0" w:space="0"/>
          <w:bottom w:val="single" w:color="0098CD" w:sz="4" w:space="0"/>
          <w:right w:val="none" w:color="auto" w:sz="0" w:space="0"/>
          <w:insideH w:val="single" w:color="0098CD" w:sz="4" w:space="0"/>
          <w:insideV w:val="single" w:color="0098CD" w:sz="4" w:space="0"/>
        </w:tblBorders>
        <w:tblCellMar>
          <w:top w:w="11" w:type="dxa"/>
          <w:left w:w="108" w:type="dxa"/>
          <w:bottom w:w="11" w:type="dxa"/>
          <w:right w:w="108" w:type="dxa"/>
        </w:tblCellMar>
      </w:tblPrEx>
      <w:trPr>
        <w:trHeight w:val="342" w:hRule="atLeast"/>
        <w:jc w:val="center"/>
      </w:trPr>
      <w:tc>
        <w:tcPr>
          <w:tcW w:w="2552" w:type="dxa"/>
          <w:vMerge w:val="continue"/>
          <w:shd w:val="clear" w:color="auto" w:fill="FFFFFF" w:themeFill="background1"/>
          <w:vAlign w:val="center"/>
        </w:tcPr>
        <w:p w14:paraId="75DA6701">
          <w:pPr>
            <w:pStyle w:val="12"/>
          </w:pPr>
        </w:p>
      </w:tc>
      <w:tc>
        <w:tcPr>
          <w:tcW w:w="3827" w:type="dxa"/>
          <w:shd w:val="clear" w:color="auto" w:fill="FFFFFF" w:themeFill="background1"/>
          <w:vAlign w:val="center"/>
        </w:tcPr>
        <w:p w14:paraId="56AE90F7">
          <w:pPr>
            <w:pStyle w:val="12"/>
            <w:rPr>
              <w:rFonts w:hint="default"/>
              <w:sz w:val="22"/>
              <w:szCs w:val="22"/>
              <w:lang w:val="es-CO"/>
            </w:rPr>
          </w:pPr>
          <w:r>
            <w:rPr>
              <w:sz w:val="22"/>
              <w:szCs w:val="22"/>
            </w:rPr>
            <w:t>Nombre:</w:t>
          </w:r>
          <w:r>
            <w:rPr>
              <w:rFonts w:hint="default"/>
              <w:sz w:val="22"/>
              <w:szCs w:val="22"/>
              <w:lang w:val="es-CO"/>
            </w:rPr>
            <w:t xml:space="preserve"> Ronaldo</w:t>
          </w:r>
        </w:p>
      </w:tc>
      <w:tc>
        <w:tcPr>
          <w:tcW w:w="1831" w:type="dxa"/>
          <w:vMerge w:val="continue"/>
          <w:shd w:val="clear" w:color="auto" w:fill="FFFFFF" w:themeFill="background1"/>
          <w:vAlign w:val="center"/>
        </w:tcPr>
        <w:p w14:paraId="01FC3A76">
          <w:pPr>
            <w:pStyle w:val="12"/>
          </w:pPr>
        </w:p>
      </w:tc>
    </w:tr>
  </w:tbl>
  <w:p w14:paraId="03B643B5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2A9EB"/>
    <w:multiLevelType w:val="singleLevel"/>
    <w:tmpl w:val="B172A9E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91FF01"/>
    <w:multiLevelType w:val="singleLevel"/>
    <w:tmpl w:val="DE91FF0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D69AA41"/>
    <w:multiLevelType w:val="singleLevel"/>
    <w:tmpl w:val="4D69AA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2B19D12"/>
    <w:multiLevelType w:val="singleLevel"/>
    <w:tmpl w:val="52B19D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1D62"/>
    <w:rsid w:val="00054229"/>
    <w:rsid w:val="00055C12"/>
    <w:rsid w:val="00056A2A"/>
    <w:rsid w:val="0005762B"/>
    <w:rsid w:val="000765C9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30E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187E"/>
    <w:rsid w:val="0018310A"/>
    <w:rsid w:val="0019470A"/>
    <w:rsid w:val="00194B1F"/>
    <w:rsid w:val="00196EB1"/>
    <w:rsid w:val="001A2BD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447C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17BD"/>
    <w:rsid w:val="003D5F24"/>
    <w:rsid w:val="003E2E18"/>
    <w:rsid w:val="003E6E97"/>
    <w:rsid w:val="0041334B"/>
    <w:rsid w:val="00413379"/>
    <w:rsid w:val="00414382"/>
    <w:rsid w:val="004172DF"/>
    <w:rsid w:val="00430C42"/>
    <w:rsid w:val="00446F8B"/>
    <w:rsid w:val="004476D3"/>
    <w:rsid w:val="004478AD"/>
    <w:rsid w:val="00455BA7"/>
    <w:rsid w:val="004567F9"/>
    <w:rsid w:val="00466671"/>
    <w:rsid w:val="00472B27"/>
    <w:rsid w:val="004925E5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D22B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06B1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17463716"/>
    <w:rsid w:val="5330461F"/>
    <w:rsid w:val="5C9E01D1"/>
    <w:rsid w:val="7452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name="heading 1"/>
    <w:lsdException w:qFormat="1" w:unhideWhenUsed="0" w:uiPriority="99" w:name="heading 2"/>
    <w:lsdException w:qFormat="1" w:uiPriority="98" w:name="heading 3"/>
    <w:lsdException w:qFormat="1" w:uiPriority="98" w:name="heading 4"/>
    <w:lsdException w:qFormat="1" w:uiPriority="98" w:name="heading 5"/>
    <w:lsdException w:qFormat="1" w:uiPriority="98" w:name="heading 6"/>
    <w:lsdException w:qFormat="1" w:uiPriority="98" w:name="heading 7"/>
    <w:lsdException w:qFormat="1" w:uiPriority="98" w:name="heading 8"/>
    <w:lsdException w:qFormat="1" w:uiPriority="9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name="footnote text"/>
    <w:lsdException w:qFormat="1" w:uiPriority="99" w:name="annotation text"/>
    <w:lsdException w:qFormat="1" w:unhideWhenUsed="0" w:uiPriority="99" w:semiHidden="0" w:name="header"/>
    <w:lsdException w:qFormat="1" w:uiPriority="24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8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8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8" w:name="Strong"/>
    <w:lsdException w:qFormat="1" w:unhideWhenUsed="0" w:uiPriority="98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8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Calibri" w:hAnsi="Calibri" w:eastAsia="Times New Roman" w:cs="Times New Roman"/>
      <w:color w:val="333333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22"/>
    <w:semiHidden/>
    <w:qFormat/>
    <w:uiPriority w:val="99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val="es-ES" w:eastAsia="es-ES" w:bidi="ar-SA"/>
    </w:rPr>
  </w:style>
  <w:style w:type="paragraph" w:styleId="3">
    <w:name w:val="heading 2"/>
    <w:basedOn w:val="1"/>
    <w:next w:val="1"/>
    <w:link w:val="24"/>
    <w:semiHidden/>
    <w:qFormat/>
    <w:uiPriority w:val="9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rFonts w:ascii="Calibri" w:hAnsi="Calibri"/>
      <w:color w:val="0098CD" w:themeColor="hyperlink"/>
      <w:sz w:val="22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right" w:pos="5810"/>
      </w:tabs>
      <w:spacing w:before="120"/>
      <w:ind w:left="284"/>
      <w:jc w:val="left"/>
    </w:pPr>
    <w:rPr>
      <w:color w:val="008FBE"/>
    </w:rPr>
  </w:style>
  <w:style w:type="paragraph" w:styleId="9">
    <w:name w:val="toc 2"/>
    <w:basedOn w:val="1"/>
    <w:next w:val="1"/>
    <w:autoRedefine/>
    <w:unhideWhenUsed/>
    <w:qFormat/>
    <w:uiPriority w:val="39"/>
    <w:pPr>
      <w:tabs>
        <w:tab w:val="right" w:pos="5952"/>
      </w:tabs>
      <w:ind w:left="567"/>
      <w:jc w:val="left"/>
    </w:pPr>
  </w:style>
  <w:style w:type="paragraph" w:styleId="10">
    <w:name w:val="Balloon Text"/>
    <w:basedOn w:val="1"/>
    <w:link w:val="45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1">
    <w:name w:val="annotation text"/>
    <w:basedOn w:val="1"/>
    <w:link w:val="4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header"/>
    <w:basedOn w:val="1"/>
    <w:link w:val="43"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3">
    <w:name w:val="footer"/>
    <w:basedOn w:val="1"/>
    <w:link w:val="44"/>
    <w:unhideWhenUsed/>
    <w:qFormat/>
    <w:uiPriority w:val="24"/>
    <w:pPr>
      <w:tabs>
        <w:tab w:val="center" w:pos="4252"/>
        <w:tab w:val="right" w:pos="8504"/>
      </w:tabs>
      <w:spacing w:line="240" w:lineRule="auto"/>
    </w:pPr>
  </w:style>
  <w:style w:type="table" w:styleId="14">
    <w:name w:val="Table Grid"/>
    <w:basedOn w:val="5"/>
    <w:qFormat/>
    <w:uiPriority w:val="39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Pie de página_Secciones"/>
    <w:basedOn w:val="1"/>
    <w:qFormat/>
    <w:uiPriority w:val="19"/>
    <w:pPr>
      <w:tabs>
        <w:tab w:val="right" w:pos="8220"/>
      </w:tabs>
      <w:spacing w:after="100" w:line="240" w:lineRule="auto"/>
      <w:jc w:val="right"/>
    </w:pPr>
    <w:rPr>
      <w:rFonts w:cs="UnitOT-Light"/>
      <w:bCs/>
      <w:color w:val="0098CD"/>
      <w:sz w:val="20"/>
      <w:szCs w:val="20"/>
    </w:rPr>
  </w:style>
  <w:style w:type="paragraph" w:customStyle="1" w:styleId="16">
    <w:name w:val="Pie de página_Asignatura"/>
    <w:basedOn w:val="1"/>
    <w:qFormat/>
    <w:uiPriority w:val="18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17">
    <w:name w:val="Pie de página_UNIR(c)"/>
    <w:basedOn w:val="16"/>
    <w:qFormat/>
    <w:uiPriority w:val="20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18">
    <w:name w:val="Nº tema"/>
    <w:basedOn w:val="19"/>
    <w:next w:val="1"/>
    <w:qFormat/>
    <w:uiPriority w:val="1"/>
    <w:pPr>
      <w:spacing w:line="240" w:lineRule="auto"/>
    </w:pPr>
  </w:style>
  <w:style w:type="paragraph" w:customStyle="1" w:styleId="19">
    <w:name w:val="Título Asignatura"/>
    <w:basedOn w:val="1"/>
    <w:qFormat/>
    <w:uiPriority w:val="2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20">
    <w:name w:val="Nota al pie"/>
    <w:basedOn w:val="1"/>
    <w:qFormat/>
    <w:uiPriority w:val="21"/>
    <w:rPr>
      <w:sz w:val="16"/>
      <w:szCs w:val="14"/>
    </w:rPr>
  </w:style>
  <w:style w:type="paragraph" w:customStyle="1" w:styleId="21">
    <w:name w:val="Pie de foto-tabla"/>
    <w:basedOn w:val="1"/>
    <w:next w:val="1"/>
    <w:qFormat/>
    <w:uiPriority w:val="16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1 Car"/>
    <w:basedOn w:val="4"/>
    <w:link w:val="2"/>
    <w:semiHidden/>
    <w:qFormat/>
    <w:uiPriority w:val="99"/>
    <w:rPr>
      <w:rFonts w:ascii="Georgia" w:hAnsi="Georgia" w:eastAsiaTheme="majorEastAsia" w:cstheme="majorBidi"/>
      <w:sz w:val="51"/>
      <w:szCs w:val="32"/>
      <w:lang w:eastAsia="es-ES"/>
    </w:rPr>
  </w:style>
  <w:style w:type="paragraph" w:styleId="23">
    <w:name w:val="List Paragraph"/>
    <w:basedOn w:val="1"/>
    <w:qFormat/>
    <w:uiPriority w:val="98"/>
    <w:pPr>
      <w:ind w:left="720"/>
      <w:contextualSpacing/>
    </w:pPr>
  </w:style>
  <w:style w:type="character" w:customStyle="1" w:styleId="24">
    <w:name w:val="Título 2 Car"/>
    <w:basedOn w:val="4"/>
    <w:link w:val="3"/>
    <w:semiHidden/>
    <w:qFormat/>
    <w:uiPriority w:val="9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s-ES"/>
    </w:rPr>
  </w:style>
  <w:style w:type="paragraph" w:customStyle="1" w:styleId="25">
    <w:name w:val="Citas"/>
    <w:basedOn w:val="1"/>
    <w:next w:val="1"/>
    <w:qFormat/>
    <w:uiPriority w:val="15"/>
    <w:pPr>
      <w:spacing w:line="240" w:lineRule="auto"/>
      <w:ind w:left="851"/>
    </w:pPr>
    <w:rPr>
      <w:rFonts w:cs="UnitOT-Light"/>
      <w:szCs w:val="22"/>
    </w:rPr>
  </w:style>
  <w:style w:type="paragraph" w:customStyle="1" w:styleId="26">
    <w:name w:val="Título Tema"/>
    <w:basedOn w:val="1"/>
    <w:qFormat/>
    <w:uiPriority w:val="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27">
    <w:name w:val="Sección Índice"/>
    <w:basedOn w:val="28"/>
    <w:next w:val="1"/>
    <w:qFormat/>
    <w:uiPriority w:val="4"/>
    <w:pPr>
      <w:spacing w:after="0"/>
      <w:ind w:left="284"/>
      <w:jc w:val="left"/>
      <w:outlineLvl w:val="9"/>
    </w:pPr>
  </w:style>
  <w:style w:type="paragraph" w:customStyle="1" w:styleId="28">
    <w:name w:val="Secciones Nivel"/>
    <w:basedOn w:val="1"/>
    <w:next w:val="1"/>
    <w:qFormat/>
    <w:uiPriority w:val="5"/>
    <w:pPr>
      <w:spacing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customStyle="1" w:styleId="29">
    <w:name w:val="Titulo Apartado 1"/>
    <w:basedOn w:val="26"/>
    <w:next w:val="1"/>
    <w:qFormat/>
    <w:uiPriority w:val="6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30">
    <w:name w:val="Destacados"/>
    <w:basedOn w:val="29"/>
    <w:next w:val="1"/>
    <w:qFormat/>
    <w:uiPriority w:val="12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31">
    <w:name w:val="Título Apartado 2"/>
    <w:basedOn w:val="1"/>
    <w:next w:val="1"/>
    <w:qFormat/>
    <w:uiPriority w:val="8"/>
    <w:rPr>
      <w:color w:val="0098CD"/>
      <w:sz w:val="28"/>
      <w:szCs w:val="26"/>
    </w:rPr>
  </w:style>
  <w:style w:type="paragraph" w:customStyle="1" w:styleId="32">
    <w:name w:val="Título Apartado 3"/>
    <w:basedOn w:val="1"/>
    <w:next w:val="1"/>
    <w:qFormat/>
    <w:uiPriority w:val="9"/>
    <w:rPr>
      <w:rFonts w:cs="UnitOT-Medi"/>
      <w:b/>
    </w:rPr>
  </w:style>
  <w:style w:type="paragraph" w:customStyle="1" w:styleId="33">
    <w:name w:val="Cuadro «Cómo estudiar» y Referencias"/>
    <w:basedOn w:val="1"/>
    <w:qFormat/>
    <w:uiPriority w:val="10"/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34">
    <w:name w:val="Cuadro enlace"/>
    <w:basedOn w:val="1"/>
    <w:qFormat/>
    <w:uiPriority w:val="11"/>
    <w:pPr>
      <w:pBdr>
        <w:top w:val="single" w:color="0098CD" w:sz="4" w:space="4"/>
        <w:bottom w:val="single" w:color="0098CD" w:sz="4" w:space="0"/>
      </w:pBdr>
      <w:jc w:val="center"/>
    </w:pPr>
    <w:rPr>
      <w:rFonts w:cs="UnitOT-Light"/>
      <w:szCs w:val="22"/>
    </w:rPr>
  </w:style>
  <w:style w:type="paragraph" w:customStyle="1" w:styleId="35">
    <w:name w:val="Título Apartado 1_sin nivel"/>
    <w:basedOn w:val="29"/>
    <w:next w:val="1"/>
    <w:qFormat/>
    <w:uiPriority w:val="7"/>
    <w:pPr>
      <w:outlineLvl w:val="9"/>
    </w:pPr>
  </w:style>
  <w:style w:type="table" w:customStyle="1" w:styleId="36">
    <w:name w:val="TablaUNIR_1"/>
    <w:basedOn w:val="37"/>
    <w:qFormat/>
    <w:uiPriority w:val="99"/>
    <w:tblStylePr w:type="firstRow">
      <w:rPr>
        <w:rFonts w:ascii="UnitOT-Medi" w:hAnsi="UnitOT-Medi"/>
        <w:color w:val="FFFFFF" w:themeColor="background1"/>
        <w:sz w:val="20"/>
        <w14:textFill>
          <w14:solidFill>
            <w14:schemeClr w14:val="bg1"/>
          </w14:solidFill>
        </w14:textFill>
      </w:rPr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cPr>
        <w:vAlign w:val="center"/>
      </w:tcPr>
    </w:tblStylePr>
  </w:style>
  <w:style w:type="table" w:customStyle="1" w:styleId="37">
    <w:name w:val="UNIR"/>
    <w:basedOn w:val="5"/>
    <w:qFormat/>
    <w:uiPriority w:val="99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38">
    <w:name w:val="TablaUNIR_2"/>
    <w:basedOn w:val="5"/>
    <w:qFormat/>
    <w:uiPriority w:val="99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auto"/>
      </w:tcPr>
    </w:tblStylePr>
  </w:style>
  <w:style w:type="table" w:customStyle="1" w:styleId="39">
    <w:name w:val="TablaUNIR_3"/>
    <w:basedOn w:val="5"/>
    <w:qFormat/>
    <w:uiPriority w:val="99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40">
    <w:name w:val="TablaUNIR_4"/>
    <w:basedOn w:val="5"/>
    <w:qFormat/>
    <w:uiPriority w:val="99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  <w14:textFill>
          <w14:solidFill>
            <w14:schemeClr w14:val="bg1"/>
          </w14:solidFill>
        </w14:textFill>
      </w:rPr>
      <w:tcPr>
        <w:shd w:val="clear" w:color="auto" w:fill="0098CD"/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41">
    <w:name w:val="Ejemplos"/>
    <w:basedOn w:val="1"/>
    <w:qFormat/>
    <w:uiPriority w:val="22"/>
    <w:pPr>
      <w:spacing w:line="276" w:lineRule="auto"/>
      <w:ind w:left="284" w:right="284"/>
    </w:pPr>
    <w:rPr>
      <w:rFonts w:cs="UnitOT-Light"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2">
    <w:name w:val="Tabla ejemplos UNIR"/>
    <w:basedOn w:val="5"/>
    <w:qFormat/>
    <w:uiPriority w:val="99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character" w:customStyle="1" w:styleId="43">
    <w:name w:val="Encabezado Car"/>
    <w:basedOn w:val="4"/>
    <w:link w:val="12"/>
    <w:qFormat/>
    <w:uiPriority w:val="99"/>
    <w:rPr>
      <w:rFonts w:ascii="UnitOT-Light" w:hAnsi="UnitOT-Light" w:cs="Times New Roman"/>
      <w:color w:val="333333"/>
      <w:szCs w:val="24"/>
      <w:lang w:eastAsia="es-ES"/>
    </w:rPr>
  </w:style>
  <w:style w:type="character" w:customStyle="1" w:styleId="44">
    <w:name w:val="Pie de página Car"/>
    <w:basedOn w:val="4"/>
    <w:link w:val="13"/>
    <w:qFormat/>
    <w:uiPriority w:val="24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45">
    <w:name w:val="Texto de globo Car"/>
    <w:basedOn w:val="4"/>
    <w:link w:val="10"/>
    <w:semiHidden/>
    <w:qFormat/>
    <w:uiPriority w:val="99"/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46">
    <w:name w:val="Texto comentario Car"/>
    <w:basedOn w:val="4"/>
    <w:link w:val="11"/>
    <w:semiHidden/>
    <w:qFormat/>
    <w:uiPriority w:val="99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47">
    <w:name w:val="Tabla UNIR 3"/>
    <w:basedOn w:val="5"/>
    <w:qFormat/>
    <w:uiPriority w:val="9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48">
    <w:name w:val="Texto_caja_actividades"/>
    <w:basedOn w:val="32"/>
    <w:qFormat/>
    <w:uiPriority w:val="0"/>
    <w:pPr>
      <w:spacing w:line="240" w:lineRule="auto"/>
      <w:jc w:val="center"/>
    </w:pPr>
    <w:rPr>
      <w:sz w:val="22"/>
      <w:szCs w:val="22"/>
    </w:rPr>
  </w:style>
  <w:style w:type="character" w:customStyle="1" w:styleId="49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50">
    <w:name w:val="Tabla de cuadrícula 5 oscura - Énfasis 5111"/>
    <w:basedOn w:val="5"/>
    <w:qFormat/>
    <w:uiPriority w:val="5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cPr>
        <w:shd w:val="clear" w:color="auto" w:fill="B4C6E7"/>
      </w:tcPr>
    </w:tblStylePr>
  </w:style>
  <w:style w:type="table" w:customStyle="1" w:styleId="51">
    <w:name w:val="Tabla de cuadrícula 5 oscura - Énfasis 51"/>
    <w:basedOn w:val="5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/>
</ds:datastoreItem>
</file>

<file path=customXml/itemProps3.xml><?xml version="1.0" encoding="utf-8"?>
<ds:datastoreItem xmlns:ds="http://schemas.openxmlformats.org/officeDocument/2006/customXml" ds:itemID="{5DA6F32C-6FAE-4705-8722-B42C5F1E24E2}">
  <ds:schemaRefs/>
</ds:datastoreItem>
</file>

<file path=customXml/itemProps4.xml><?xml version="1.0" encoding="utf-8"?>
<ds:datastoreItem xmlns:ds="http://schemas.openxmlformats.org/officeDocument/2006/customXml" ds:itemID="{B4305D8F-0E48-4854-9F66-AA007F12C4EE}">
  <ds:schemaRefs/>
</ds:datastoreItem>
</file>

<file path=customXml/itemProps5.xml><?xml version="1.0" encoding="utf-8"?>
<ds:datastoreItem xmlns:ds="http://schemas.openxmlformats.org/officeDocument/2006/customXml" ds:itemID="{DADA22EA-30AF-48ED-8DC0-06AFFED52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313</Words>
  <Characters>1726</Characters>
  <Lines>14</Lines>
  <Paragraphs>4</Paragraphs>
  <TotalTime>43</TotalTime>
  <ScaleCrop>false</ScaleCrop>
  <LinksUpToDate>false</LinksUpToDate>
  <CharactersWithSpaces>2035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2021-06-21T05:51:00Z</dcterms:created>
  <dc:creator>Natalia Asturillo</dc:creator>
  <cp:lastModifiedBy>Ronaldo Jimenez Acosta</cp:lastModifiedBy>
  <cp:lastPrinted>2017-09-08T09:41:00Z</cp:lastPrinted>
  <dcterms:modified xsi:type="dcterms:W3CDTF">2025-08-14T12:10:13Z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  <property fmtid="{D5CDD505-2E9C-101B-9397-08002B2CF9AE}" pid="3" name="KSOProductBuildVer">
    <vt:lpwstr>3082-12.2.0.21546</vt:lpwstr>
  </property>
  <property fmtid="{D5CDD505-2E9C-101B-9397-08002B2CF9AE}" pid="4" name="ICV">
    <vt:lpwstr>8A03F425A94547F684B5CEAEA9D15676_12</vt:lpwstr>
  </property>
</Properties>
</file>