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27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6"/>
                <w:szCs w:val="26"/>
              </w:rPr>
              <w:t xml:space="preserve">Jim Jeannon</w:t>
            </w:r>
          </w:p>
          <w:p>
            <w:pPr>
              <w:spacing w:after="0" w:before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Développement web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61 route de Saint-Pierre de Féric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06000 Nice — France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jim.jeannon@gmail.com</w:t>
            </w:r>
          </w:p>
          <w:p>
            <w:pPr>
              <w:spacing w:after="0" w:before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SIRET : 914 413 026 00016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80"/>
                <w:sz w:val="34"/>
                <w:szCs w:val="34"/>
              </w:rPr>
              <w:t xml:space="preserve">FACTURE</w:t>
            </w:r>
          </w:p>
          <w:p>
            <w:pPr>
              <w:spacing w:after="0" w:before="6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9"/>
                <w:szCs w:val="19"/>
              </w:rPr>
              <w:t xml:space="preserve">N° [2026-001]</w:t>
            </w:r>
          </w:p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9"/>
                <w:szCs w:val="19"/>
              </w:rPr>
              <w:t xml:space="preserve">Émise le 1er septembre 2026</w:t>
            </w:r>
          </w:p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9"/>
                <w:szCs w:val="19"/>
              </w:rPr>
              <w:t xml:space="preserve">Échéance : 1er octobre 2026</w:t>
            </w:r>
          </w:p>
        </w:tc>
      </w:tr>
    </w:tbl>
    <w:p>
      <w:pPr>
        <w:pBdr>
          <w:bottom w:val="single" w:color="D9D2C8" w:sz="6" w:space="1"/>
        </w:pBdr>
        <w:spacing w:after="0" w:before="16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0" w:before="18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0"/>
          <w:szCs w:val="10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27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Facturé à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Agence Marion Dériot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Architecte d’intérieur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Boulogne-Billancourt, 92100 — France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SIRET : 907 841 209 00014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marionderiot.archi@gmail.com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Objet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Création du site internet marionderiot.com — site vitrine d’architecture d’intérieur avec back-office de gestion des projets.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Période d’exécution : mai à août 2026.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8"/>
                <w:szCs w:val="18"/>
              </w:rPr>
              <w:t xml:space="preserve">Mise en ligne le 31 août 2026.</w:t>
            </w:r>
          </w:p>
        </w:tc>
      </w:tr>
    </w:tbl>
    <w:p>
      <w:pPr>
        <w:spacing w:after="0" w:before="15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0"/>
          <w:szCs w:val="10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70"/>
        <w:gridCol w:w="850"/>
        <w:gridCol w:w="1100"/>
        <w:gridCol w:w="1350"/>
      </w:tblGrid>
      <w:tr>
        <w:trPr>
          <w:tblHeader/>
        </w:trPr>
        <w:tc>
          <w:tcPr>
            <w:tcW w:type="dxa" w:w="5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Désignation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Jours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TJM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Montant</w:t>
            </w:r>
          </w:p>
        </w:tc>
      </w:tr>
      <w:tr>
        <w:tc>
          <w:tcPr>
            <w:tcW w:type="dxa" w:w="577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Lot 1 — Conception &amp; développement du site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Architecture Astro et Tailwind CSS, design sur mesure, intégration responsive des pages Accueil, Projets, Fiche projet, Info et pages légales.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560,00 €</w:t>
            </w:r>
          </w:p>
        </w:tc>
      </w:tr>
      <w:tr>
        <w:tc>
          <w:tcPr>
            <w:tcW w:type="dxa" w:w="577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Lot 2 — Back-office &amp; gestion de contenu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CMS Sanity et interface d’administration sur mesure : authentification, création et modification des projets, téléversement et ordonnancement des galeries.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</w:tr>
      <w:tr>
        <w:tc>
          <w:tcPr>
            <w:tcW w:type="dxa" w:w="577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Lot 3 — Intégration des contenus &amp; médias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Préparation et intégration de 16 projets et de plus de 500 photographies, construction des galeries et diaporamas, crédits photographiques.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</w:tr>
      <w:tr>
        <w:tc>
          <w:tcPr>
            <w:tcW w:type="dxa" w:w="577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Lot 4 — Référencement &amp; mise en production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Métadonnées et balises Open Graph, sitemap, robots.txt, nom de domaine, déploiement continu sur Netlify, sécurisation des accès, formulaire de contact.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0,5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140,00 €</w:t>
            </w:r>
          </w:p>
        </w:tc>
      </w:tr>
      <w:tr>
        <w:tc>
          <w:tcPr>
            <w:tcW w:type="dxa" w:w="577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Lot 5 — Recette, corrections &amp; performances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Campagne de tests, correction des galeries et de la navigation entre projets, ajustements mobiles, optimisation des temps de chargement.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0,5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280,00 €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9D2C8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140,00 €</w:t>
            </w:r>
          </w:p>
        </w:tc>
      </w:tr>
    </w:tbl>
    <w:p>
      <w:pPr>
        <w:spacing w:after="0" w:before="8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0"/>
          <w:szCs w:val="10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50"/>
        <w:gridCol w:w="3820"/>
      </w:tblGrid>
      <w:tr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4"/>
                <w:szCs w:val="4"/>
              </w:rPr>
              <w:t xml:space="preserve"/>
            </w:r>
          </w:p>
        </w:tc>
        <w:tc>
          <w:tcPr>
            <w:tcW w:type="dxa" w:w="3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767676"/>
                <w:sz w:val="20"/>
                <w:szCs w:val="20"/>
              </w:rPr>
              <w:t xml:space="preserve">Total des prestations (5 jours) 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1 400,00 €</w:t>
            </w:r>
          </w:p>
        </w:tc>
      </w:tr>
      <w:tr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4"/>
                <w:szCs w:val="4"/>
              </w:rPr>
              <w:t xml:space="preserve"/>
            </w:r>
          </w:p>
        </w:tc>
        <w:tc>
          <w:tcPr>
            <w:tcW w:type="dxa" w:w="3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767676"/>
                <w:sz w:val="20"/>
                <w:szCs w:val="20"/>
              </w:rPr>
              <w:t xml:space="preserve">TVA 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4"/>
                <w:szCs w:val="4"/>
              </w:rPr>
              <w:t xml:space="preserve"/>
            </w:r>
          </w:p>
        </w:tc>
        <w:tc>
          <w:tcPr>
            <w:tcW w:type="dxa" w:w="3820"/>
            <w:tcBorders>
              <w:top w:val="single" w:color="1A1A1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NET À PAYER 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1 400,00 €</w:t>
            </w:r>
          </w:p>
        </w:tc>
      </w:tr>
    </w:tbl>
    <w:p>
      <w:pPr>
        <w:spacing w:after="0" w:before="15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0"/>
          <w:szCs w:val="10"/>
        </w:rPr>
        <w:t xml:space="preserve"/>
      </w:r>
    </w:p>
    <w:p>
      <w:pPr>
        <w:pBdr>
          <w:bottom w:val="single" w:color="D9D2C8" w:sz="6" w:space="1"/>
        </w:pBdr>
        <w:spacing w:after="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0" w:before="11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27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Règlement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Par virement bancaire à réception de facture, sous 30 jours — échéance le 1er octobre 2026.</w:t>
            </w:r>
          </w:p>
          <w:p>
            <w:pPr>
              <w:spacing w:after="0" w:before="5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Titulaire : Jim Jeannon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IBAN : FR76 4061 8803 1600 0405 0139 643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7"/>
                <w:szCs w:val="17"/>
              </w:rPr>
              <w:t xml:space="preserve">BIC : BOUSFRPPXXX</w:t>
            </w:r>
          </w:p>
        </w:tc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A7B6A"/>
                <w:spacing w:val="40"/>
                <w:sz w:val="15"/>
                <w:szCs w:val="15"/>
              </w:rPr>
              <w:t xml:space="preserve">Mentions légales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6"/>
                <w:szCs w:val="16"/>
              </w:rPr>
              <w:t xml:space="preserve">TVA non applicable, article 293 B du Code général des impôts.</w:t>
            </w:r>
          </w:p>
          <w:p>
            <w:pPr>
              <w:spacing w:after="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67676"/>
                <w:sz w:val="16"/>
                <w:szCs w:val="16"/>
              </w:rPr>
              <w:t xml:space="preserve">Retard de paiement : pénalités égales à trois fois le taux d’intérêt légal et indemnité forfaitaire de 40 € (art. L441-10 du Code de commerce). Escompte : néant. Droits d’exploitation du site cédés au client au paiement intégral.</w:t>
            </w:r>
          </w:p>
        </w:tc>
      </w:tr>
    </w:tbl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2026-09-01T19:25:18.848Z</dcterms:created>
  <dcterms:modified xsi:type="dcterms:W3CDTF">2026-09-01T19:25:18.848Z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