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rPr>
        <w:t xml:space="preserve"/>
      </w:r>
    </w:p>
    <w:p>
      <w:pPr>
        <w:spacing w:after="120" w:before="0"/>
        <w:jc w:val="center"/>
      </w:pPr>
      <w:r>
        <w:rPr>
          <w:rFonts w:ascii="Arial" w:cs="Arial" w:eastAsia="Arial" w:hAnsi="Arial"/>
          <w:b/>
          <w:bCs/>
          <w:color w:val="1A3A5C"/>
          <w:sz w:val="52"/>
          <w:szCs w:val="52"/>
        </w:rPr>
        <w:t xml:space="preserve">PHYSIQUE 57 INDIA</w:t>
      </w:r>
    </w:p>
    <w:p>
      <w:pPr>
        <w:spacing w:after="480" w:before="0"/>
        <w:jc w:val="center"/>
      </w:pPr>
      <w:r>
        <w:rPr>
          <w:rFonts w:ascii="Arial" w:cs="Arial" w:eastAsia="Arial" w:hAnsi="Arial"/>
          <w:color w:val="555555"/>
          <w:sz w:val="28"/>
          <w:szCs w:val="28"/>
        </w:rPr>
        <w:t xml:space="preserve">Sales &amp; Client Servicing Department</w:t>
      </w:r>
    </w:p>
    <w:p>
      <w:pPr>
        <w:spacing w:after="80" w:before="0"/>
        <w:jc w:val="center"/>
      </w:pPr>
      <w:r>
        <w:rPr>
          <w:rFonts w:ascii="Arial" w:cs="Arial" w:eastAsia="Arial" w:hAnsi="Arial"/>
          <w:b/>
          <w:bCs/>
          <w:color w:val="C8A96E"/>
          <w:sz w:val="36"/>
          <w:szCs w:val="36"/>
        </w:rPr>
        <w:t xml:space="preserve">STANDARD OPERATING PROCEDURE</w:t>
      </w:r>
    </w:p>
    <w:p>
      <w:pPr>
        <w:shd w:fill="1A3A5C" w:val="clear"/>
        <w:spacing w:after="80" w:before="80"/>
        <w:ind w:left="200" w:right="200"/>
        <w:jc w:val="center"/>
      </w:pPr>
      <w:r>
        <w:rPr>
          <w:rFonts w:ascii="Arial" w:cs="Arial" w:eastAsia="Arial" w:hAnsi="Arial"/>
          <w:b/>
          <w:bCs/>
          <w:color w:val="FFFFFF"/>
          <w:sz w:val="28"/>
          <w:szCs w:val="28"/>
        </w:rPr>
        <w:t xml:space="preserve">SOP 4.0 — TRIAL MEMBER HANDLING</w:t>
      </w:r>
    </w:p>
    <w:p>
      <w:pPr>
        <w:spacing w:after="6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Reference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P57-SOP-SALES-004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Department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Applicable Locations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Physique 57 India Locations — Mumbai &amp; Bengaluru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May 2025</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Quarterly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INTERNAL — CONFIDENTIAL</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Related Documents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SOP 1.0 — Lead Intake; SOP 3.0 — Sales Flow</w:t>
            </w:r>
          </w:p>
        </w:tc>
      </w:tr>
    </w:tbl>
    <w:p>
      <w:pPr>
        <w:spacing w:after="400" w:before="0"/>
      </w:pPr>
      <w:r>
        <w:rPr>
          <w:rFonts w:ascii="Arial" w:cs="Arial" w:eastAsia="Arial" w:hAnsi="Arial"/>
        </w:rPr>
        <w:t xml:space="preserve"/>
      </w:r>
    </w:p>
    <w:p>
      <w:pPr>
        <w:jc w:val="center"/>
      </w:pPr>
      <w:r>
        <w:rPr>
          <w:rFonts w:ascii="Arial" w:cs="Arial" w:eastAsia="Arial" w:hAnsi="Arial"/>
          <w:color w:val="555555"/>
          <w:sz w:val="17"/>
          <w:szCs w:val="17"/>
        </w:rPr>
        <w:t xml:space="preserve">This document is the exclusive property of Physique 57 India. It may not be reproduced or shared outside the organisation without written authorisation from the Head of Sales &amp; Client Servicing.</w:t>
      </w:r>
    </w:p>
    <w:p>
      <w:r>
        <w:br w:type="page"/>
      </w:r>
    </w:p>
    <w:p>
      <w:pPr>
        <w:spacing w:after="240" w:before="0"/>
      </w:pPr>
      <w:r>
        <w:rPr>
          <w:rFonts w:ascii="Arial" w:cs="Arial" w:eastAsia="Arial" w:hAnsi="Arial"/>
        </w:rPr>
        <w:t xml:space="preserve"/>
      </w:r>
    </w:p>
    <w:p>
      <w:pPr>
        <w:shd w:fill="1A3A5C" w:val="clear"/>
        <w:spacing w:after="120" w:before="120"/>
        <w:ind w:left="120"/>
      </w:pPr>
      <w:r>
        <w:rPr>
          <w:rFonts w:ascii="Arial" w:cs="Arial" w:eastAsia="Arial" w:hAnsi="Arial"/>
          <w:b/>
          <w:bCs/>
          <w:color w:val="FFFFFF"/>
          <w:sz w:val="28"/>
          <w:szCs w:val="28"/>
        </w:rPr>
        <w:t xml:space="preserve">TABLE OF CONTENTS</w:t>
      </w:r>
    </w:p>
    <w:p>
      <w:pPr>
        <w:spacing w:after="60" w:before="0"/>
      </w:pPr>
      <w:r>
        <w:rPr>
          <w:rFonts w:ascii="Arial" w:cs="Arial" w:eastAsia="Arial" w:hAnsi="Arial"/>
        </w:rPr>
        <w:t xml:space="preserve"/>
      </w:r>
    </w:p>
    <w:p>
      <w:pPr>
        <w:spacing w:after="60" w:before="60"/>
        <w:ind w:left="360"/>
      </w:pPr>
      <w:r>
        <w:rPr>
          <w:rFonts w:ascii="Arial" w:cs="Arial" w:eastAsia="Arial" w:hAnsi="Arial"/>
          <w:b/>
          <w:bCs/>
          <w:color w:val="1A3A5C"/>
          <w:sz w:val="20"/>
          <w:szCs w:val="20"/>
        </w:rPr>
        <w:t xml:space="preserve">1.  </w:t>
      </w:r>
      <w:r>
        <w:rPr>
          <w:rFonts w:ascii="Arial" w:cs="Arial" w:eastAsia="Arial" w:hAnsi="Arial"/>
          <w:color w:val="2D2D2D"/>
          <w:sz w:val="20"/>
          <w:szCs w:val="20"/>
        </w:rPr>
        <w:t xml:space="preserve">Purpose &amp; Scope</w:t>
      </w:r>
    </w:p>
    <w:p>
      <w:pPr>
        <w:spacing w:after="60" w:before="60"/>
        <w:ind w:left="360"/>
      </w:pPr>
      <w:r>
        <w:rPr>
          <w:rFonts w:ascii="Arial" w:cs="Arial" w:eastAsia="Arial" w:hAnsi="Arial"/>
          <w:b/>
          <w:bCs/>
          <w:color w:val="1A3A5C"/>
          <w:sz w:val="20"/>
          <w:szCs w:val="20"/>
        </w:rPr>
        <w:t xml:space="preserve">2.  </w:t>
      </w:r>
      <w:r>
        <w:rPr>
          <w:rFonts w:ascii="Arial" w:cs="Arial" w:eastAsia="Arial" w:hAnsi="Arial"/>
          <w:color w:val="2D2D2D"/>
          <w:sz w:val="20"/>
          <w:szCs w:val="20"/>
        </w:rPr>
        <w:t xml:space="preserve">What a Trial Represents — The Brand Lens</w:t>
      </w:r>
    </w:p>
    <w:p>
      <w:pPr>
        <w:spacing w:after="60" w:before="60"/>
        <w:ind w:left="360"/>
      </w:pPr>
      <w:r>
        <w:rPr>
          <w:rFonts w:ascii="Arial" w:cs="Arial" w:eastAsia="Arial" w:hAnsi="Arial"/>
          <w:b/>
          <w:bCs/>
          <w:color w:val="1A3A5C"/>
          <w:sz w:val="20"/>
          <w:szCs w:val="20"/>
        </w:rPr>
        <w:t xml:space="preserve">3.  </w:t>
      </w:r>
      <w:r>
        <w:rPr>
          <w:rFonts w:ascii="Arial" w:cs="Arial" w:eastAsia="Arial" w:hAnsi="Arial"/>
          <w:color w:val="2D2D2D"/>
          <w:sz w:val="20"/>
          <w:szCs w:val="20"/>
        </w:rPr>
        <w:t xml:space="preserve">Trial Types &amp; Eligibility Reference</w:t>
      </w:r>
    </w:p>
    <w:p>
      <w:pPr>
        <w:spacing w:after="60" w:before="60"/>
        <w:ind w:left="360"/>
      </w:pPr>
      <w:r>
        <w:rPr>
          <w:rFonts w:ascii="Arial" w:cs="Arial" w:eastAsia="Arial" w:hAnsi="Arial"/>
          <w:b/>
          <w:bCs/>
          <w:color w:val="1A3A5C"/>
          <w:sz w:val="20"/>
          <w:szCs w:val="20"/>
        </w:rPr>
        <w:t xml:space="preserve">4.  </w:t>
      </w:r>
      <w:r>
        <w:rPr>
          <w:rFonts w:ascii="Arial" w:cs="Arial" w:eastAsia="Arial" w:hAnsi="Arial"/>
          <w:color w:val="2D2D2D"/>
          <w:sz w:val="20"/>
          <w:szCs w:val="20"/>
        </w:rPr>
        <w:t xml:space="preserve">Pre-Trial — Booking, Confirmation &amp; Readiness</w:t>
      </w:r>
    </w:p>
    <w:p>
      <w:pPr>
        <w:spacing w:after="60" w:before="60"/>
        <w:ind w:left="360"/>
      </w:pPr>
      <w:r>
        <w:rPr>
          <w:rFonts w:ascii="Arial" w:cs="Arial" w:eastAsia="Arial" w:hAnsi="Arial"/>
          <w:b/>
          <w:bCs/>
          <w:color w:val="1A3A5C"/>
          <w:sz w:val="20"/>
          <w:szCs w:val="20"/>
        </w:rPr>
        <w:t xml:space="preserve">5.  </w:t>
      </w:r>
      <w:r>
        <w:rPr>
          <w:rFonts w:ascii="Arial" w:cs="Arial" w:eastAsia="Arial" w:hAnsi="Arial"/>
          <w:color w:val="2D2D2D"/>
          <w:sz w:val="20"/>
          <w:szCs w:val="20"/>
        </w:rPr>
        <w:t xml:space="preserve">Trial Day — Arrival &amp; Welcome Protocol</w:t>
      </w:r>
    </w:p>
    <w:p>
      <w:pPr>
        <w:spacing w:after="60" w:before="60"/>
        <w:ind w:left="360"/>
      </w:pPr>
      <w:r>
        <w:rPr>
          <w:rFonts w:ascii="Arial" w:cs="Arial" w:eastAsia="Arial" w:hAnsi="Arial"/>
          <w:b/>
          <w:bCs/>
          <w:color w:val="1A3A5C"/>
          <w:sz w:val="20"/>
          <w:szCs w:val="20"/>
        </w:rPr>
        <w:t xml:space="preserve">6.  </w:t>
      </w:r>
      <w:r>
        <w:rPr>
          <w:rFonts w:ascii="Arial" w:cs="Arial" w:eastAsia="Arial" w:hAnsi="Arial"/>
          <w:color w:val="2D2D2D"/>
          <w:sz w:val="20"/>
          <w:szCs w:val="20"/>
        </w:rPr>
        <w:t xml:space="preserve">During the Trial — Studio Floor Standards</w:t>
      </w:r>
    </w:p>
    <w:p>
      <w:pPr>
        <w:spacing w:after="60" w:before="60"/>
        <w:ind w:left="360"/>
      </w:pPr>
      <w:r>
        <w:rPr>
          <w:rFonts w:ascii="Arial" w:cs="Arial" w:eastAsia="Arial" w:hAnsi="Arial"/>
          <w:b/>
          <w:bCs/>
          <w:color w:val="1A3A5C"/>
          <w:sz w:val="20"/>
          <w:szCs w:val="20"/>
        </w:rPr>
        <w:t xml:space="preserve">7.  </w:t>
      </w:r>
      <w:r>
        <w:rPr>
          <w:rFonts w:ascii="Arial" w:cs="Arial" w:eastAsia="Arial" w:hAnsi="Arial"/>
          <w:color w:val="2D2D2D"/>
          <w:sz w:val="20"/>
          <w:szCs w:val="20"/>
        </w:rPr>
        <w:t xml:space="preserve">Post-Class — The Conversion Window</w:t>
      </w:r>
    </w:p>
    <w:p>
      <w:pPr>
        <w:spacing w:after="60" w:before="60"/>
        <w:ind w:left="360"/>
      </w:pPr>
      <w:r>
        <w:rPr>
          <w:rFonts w:ascii="Arial" w:cs="Arial" w:eastAsia="Arial" w:hAnsi="Arial"/>
          <w:b/>
          <w:bCs/>
          <w:color w:val="1A3A5C"/>
          <w:sz w:val="20"/>
          <w:szCs w:val="20"/>
        </w:rPr>
        <w:t xml:space="preserve">8.  </w:t>
      </w:r>
      <w:r>
        <w:rPr>
          <w:rFonts w:ascii="Arial" w:cs="Arial" w:eastAsia="Arial" w:hAnsi="Arial"/>
          <w:color w:val="2D2D2D"/>
          <w:sz w:val="20"/>
          <w:szCs w:val="20"/>
        </w:rPr>
        <w:t xml:space="preserve">Post-Trial Follow-Up Cadence</w:t>
      </w:r>
    </w:p>
    <w:p>
      <w:pPr>
        <w:spacing w:after="60" w:before="60"/>
        <w:ind w:left="360"/>
      </w:pPr>
      <w:r>
        <w:rPr>
          <w:rFonts w:ascii="Arial" w:cs="Arial" w:eastAsia="Arial" w:hAnsi="Arial"/>
          <w:b/>
          <w:bCs/>
          <w:color w:val="1A3A5C"/>
          <w:sz w:val="20"/>
          <w:szCs w:val="20"/>
        </w:rPr>
        <w:t xml:space="preserve">9.  </w:t>
      </w:r>
      <w:r>
        <w:rPr>
          <w:rFonts w:ascii="Arial" w:cs="Arial" w:eastAsia="Arial" w:hAnsi="Arial"/>
          <w:color w:val="2D2D2D"/>
          <w:sz w:val="20"/>
          <w:szCs w:val="20"/>
        </w:rPr>
        <w:t xml:space="preserve">No-Show &amp; Cancellation Protocol</w:t>
      </w:r>
    </w:p>
    <w:p>
      <w:pPr>
        <w:spacing w:after="60" w:before="60"/>
        <w:ind w:left="360"/>
      </w:pPr>
      <w:r>
        <w:rPr>
          <w:rFonts w:ascii="Arial" w:cs="Arial" w:eastAsia="Arial" w:hAnsi="Arial"/>
          <w:b/>
          <w:bCs/>
          <w:color w:val="1A3A5C"/>
          <w:sz w:val="20"/>
          <w:szCs w:val="20"/>
        </w:rPr>
        <w:t xml:space="preserve">10.  </w:t>
      </w:r>
      <w:r>
        <w:rPr>
          <w:rFonts w:ascii="Arial" w:cs="Arial" w:eastAsia="Arial" w:hAnsi="Arial"/>
          <w:color w:val="2D2D2D"/>
          <w:sz w:val="20"/>
          <w:szCs w:val="20"/>
        </w:rPr>
        <w:t xml:space="preserve">Multi-Format Trial Handling</w:t>
      </w:r>
    </w:p>
    <w:p>
      <w:pPr>
        <w:spacing w:after="60" w:before="60"/>
        <w:ind w:left="360"/>
      </w:pPr>
      <w:r>
        <w:rPr>
          <w:rFonts w:ascii="Arial" w:cs="Arial" w:eastAsia="Arial" w:hAnsi="Arial"/>
          <w:b/>
          <w:bCs/>
          <w:color w:val="1A3A5C"/>
          <w:sz w:val="20"/>
          <w:szCs w:val="20"/>
        </w:rPr>
        <w:t xml:space="preserve">11.  </w:t>
      </w:r>
      <w:r>
        <w:rPr>
          <w:rFonts w:ascii="Arial" w:cs="Arial" w:eastAsia="Arial" w:hAnsi="Arial"/>
          <w:color w:val="2D2D2D"/>
          <w:sz w:val="20"/>
          <w:szCs w:val="20"/>
        </w:rPr>
        <w:t xml:space="preserve">Trial Feedback Capture</w:t>
      </w:r>
    </w:p>
    <w:p>
      <w:pPr>
        <w:spacing w:after="60" w:before="60"/>
        <w:ind w:left="360"/>
      </w:pPr>
      <w:r>
        <w:rPr>
          <w:rFonts w:ascii="Arial" w:cs="Arial" w:eastAsia="Arial" w:hAnsi="Arial"/>
          <w:b/>
          <w:bCs/>
          <w:color w:val="1A3A5C"/>
          <w:sz w:val="20"/>
          <w:szCs w:val="20"/>
        </w:rPr>
        <w:t xml:space="preserve">12.  </w:t>
      </w:r>
      <w:r>
        <w:rPr>
          <w:rFonts w:ascii="Arial" w:cs="Arial" w:eastAsia="Arial" w:hAnsi="Arial"/>
          <w:color w:val="2D2D2D"/>
          <w:sz w:val="20"/>
          <w:szCs w:val="20"/>
        </w:rPr>
        <w:t xml:space="preserve">CRM Standards for Trial Members</w:t>
      </w:r>
    </w:p>
    <w:p>
      <w:pPr>
        <w:spacing w:after="60" w:before="60"/>
        <w:ind w:left="360"/>
      </w:pPr>
      <w:r>
        <w:rPr>
          <w:rFonts w:ascii="Arial" w:cs="Arial" w:eastAsia="Arial" w:hAnsi="Arial"/>
          <w:b/>
          <w:bCs/>
          <w:color w:val="1A3A5C"/>
          <w:sz w:val="20"/>
          <w:szCs w:val="20"/>
        </w:rPr>
        <w:t xml:space="preserve">13.  </w:t>
      </w:r>
      <w:r>
        <w:rPr>
          <w:rFonts w:ascii="Arial" w:cs="Arial" w:eastAsia="Arial" w:hAnsi="Arial"/>
          <w:color w:val="2D2D2D"/>
          <w:sz w:val="20"/>
          <w:szCs w:val="20"/>
        </w:rPr>
        <w:t xml:space="preserve">KPIs &amp; Reporting</w:t>
      </w:r>
    </w:p>
    <w:p>
      <w:pPr>
        <w:spacing w:after="60" w:before="60"/>
        <w:ind w:left="360"/>
      </w:pPr>
      <w:r>
        <w:rPr>
          <w:rFonts w:ascii="Arial" w:cs="Arial" w:eastAsia="Arial" w:hAnsi="Arial"/>
          <w:b/>
          <w:bCs/>
          <w:color w:val="1A3A5C"/>
          <w:sz w:val="20"/>
          <w:szCs w:val="20"/>
        </w:rPr>
        <w:t xml:space="preserve">14.  </w:t>
      </w:r>
      <w:r>
        <w:rPr>
          <w:rFonts w:ascii="Arial" w:cs="Arial" w:eastAsia="Arial" w:hAnsi="Arial"/>
          <w:color w:val="2D2D2D"/>
          <w:sz w:val="20"/>
          <w:szCs w:val="20"/>
        </w:rPr>
        <w:t xml:space="preserve">SOP Governance</w:t>
      </w:r>
    </w:p>
    <w:p>
      <w:r>
        <w:br w:type="page"/>
      </w:r>
    </w:p>
    <w:p>
      <w:pPr>
        <w:shd w:fill="1A3A5C" w:val="clear"/>
        <w:spacing w:after="160" w:before="320"/>
        <w:ind w:left="120" w:right="120"/>
      </w:pPr>
      <w:r>
        <w:rPr>
          <w:rFonts w:ascii="Arial" w:cs="Arial" w:eastAsia="Arial" w:hAnsi="Arial"/>
          <w:b/>
          <w:bCs/>
          <w:color w:val="FFFFFF"/>
          <w:sz w:val="28"/>
          <w:szCs w:val="28"/>
        </w:rPr>
        <w:t xml:space="preserve">1.  PURPOSE &amp; SCOPE</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This SOP defines the complete handling process for trial members at Physique 57 India — from the moment a trial is booked to the post-trial follow-up cadence. The trial is the most powerful conversion tool in P57's sales arsenal. Every element of the trial experience must be orchestrated, not left to chance.</w:t>
      </w:r>
    </w:p>
    <w:p>
      <w:pPr>
        <w:spacing w:after="60" w:before="0"/>
      </w:pPr>
      <w:r>
        <w:rPr>
          <w:rFonts w:ascii="Arial" w:cs="Arial" w:eastAsia="Arial" w:hAnsi="Arial"/>
        </w:rPr>
        <w:t xml:space="preserve"/>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Sales &amp; Client Servicing Executives responsible for trial bookings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Studio floor teams and instructors on trial class days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Team Leaders responsible for trial day oversight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locations: Kwality House, Supreme HQ, Kenkere House, Copper N Cloves (pop-up)</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2.  WHAT A TRIAL REPRESENTS — THE BRAND LENS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TRIAL IS THE PRODUCT. TREAT IT ACCORDINGLY.</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 trial is not a free class. It is a curated first experience of the Physique 57 brand.</w:t>
            </w:r>
          </w:p>
          <w:p>
            <w:pPr>
              <w:spacing w:after="40" w:before="40"/>
            </w:pPr>
            <w:r>
              <w:rPr>
                <w:rFonts w:ascii="Arial" w:cs="Arial" w:eastAsia="Arial" w:hAnsi="Arial"/>
                <w:color w:val="2D2D2D"/>
                <w:sz w:val="19"/>
                <w:szCs w:val="19"/>
              </w:rPr>
              <w:t xml:space="preserve">The prospect arrives with hope, curiosity, and a degree of vulnerability. They are trusting us with their first impression of something new.</w:t>
            </w:r>
          </w:p>
          <w:p>
            <w:pPr>
              <w:spacing w:after="40" w:before="40"/>
            </w:pPr>
            <w:r>
              <w:rPr>
                <w:rFonts w:ascii="Arial" w:cs="Arial" w:eastAsia="Arial" w:hAnsi="Arial"/>
                <w:color w:val="2D2D2D"/>
                <w:sz w:val="19"/>
                <w:szCs w:val="19"/>
              </w:rPr>
              <w:t xml:space="preserve">Every person on the floor — the executive, the instructor, the front desk — is performing in that first impression.</w:t>
            </w:r>
          </w:p>
          <w:p>
            <w:pPr>
              <w:spacing w:after="40" w:before="40"/>
            </w:pPr>
            <w:r>
              <w:rPr>
                <w:rFonts w:ascii="Arial" w:cs="Arial" w:eastAsia="Arial" w:hAnsi="Arial"/>
                <w:color w:val="2D2D2D"/>
                <w:sz w:val="19"/>
                <w:szCs w:val="19"/>
              </w:rPr>
              <w:t xml:space="preserve">A trial member who leaves feeling welcomed, capable, and inspired will convert. One who leaves feeling ignored, overwhelmed, or awkward will not — regardless of how good the class was.</w:t>
            </w:r>
          </w:p>
          <w:p>
            <w:pPr>
              <w:spacing w:after="40" w:before="40"/>
            </w:pPr>
            <w:r>
              <w:rPr>
                <w:rFonts w:ascii="Arial" w:cs="Arial" w:eastAsia="Arial" w:hAnsi="Arial"/>
                <w:color w:val="2D2D2D"/>
                <w:sz w:val="19"/>
                <w:szCs w:val="19"/>
              </w:rPr>
              <w:t xml:space="preserve">We do not get a second chance at a first experience.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3.  TRIAL TYPES &amp; ELIGIBILITY REFERENCE</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All executives must know the trial matrix by heart. Misquoting a trial offer — even verbally — damages credibility and creates client management issues downstream.</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200"/>
        <w:gridCol w:w="33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TRIAL OFFER</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RULES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Mumbai — Kwality House &amp; Supreme HQ</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Free Trial Class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Complimentary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First-time attendees only. No repeat free trials.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Mumbai — Kwality House &amp; Supreme HQ</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Strength Lab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Newcomers 2-for-1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₹1,838 incl. tax</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 free trial. Kwality House ONLY. Cannot book at Supreme HQ.</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Mumbai — Kwality House &amp; Supreme HQ</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PowerCycle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Newcomers 2-for-1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₹1,838 incl. tax</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 free trial. Both Mumbai locations.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Bengaluru — Kenkere House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First Class 50% Off</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Discounted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 free trial. Follow with Newcomers 2-for-1 pitch.</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Bengaluru — Kenkere House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PowerCycle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Newcomers 2-for-1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₹1,838 incl. tax</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schedule before booking.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Copper N Cloves (Pop-Up)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All Formats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 Trial Offer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Standard single class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Direct to single class purchase. No exceptions.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TRIAL ELIGIBILITY — CRITICAL COMPLIANCE</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NEVER offer a Barre free trial at Bengaluru.</w:t>
            </w:r>
          </w:p>
          <w:p>
            <w:pPr>
              <w:spacing w:after="40" w:before="40"/>
            </w:pPr>
            <w:r>
              <w:rPr>
                <w:rFonts w:ascii="Arial" w:cs="Arial" w:eastAsia="Arial" w:hAnsi="Arial"/>
                <w:color w:val="2D2D2D"/>
                <w:sz w:val="19"/>
                <w:szCs w:val="19"/>
              </w:rPr>
              <w:t xml:space="preserve">NEVER offer a Strength Lab trial at Supreme HQ — format not available there.</w:t>
            </w:r>
          </w:p>
          <w:p>
            <w:pPr>
              <w:spacing w:after="40" w:before="40"/>
            </w:pPr>
            <w:r>
              <w:rPr>
                <w:rFonts w:ascii="Arial" w:cs="Arial" w:eastAsia="Arial" w:hAnsi="Arial"/>
                <w:color w:val="2D2D2D"/>
                <w:sz w:val="19"/>
                <w:szCs w:val="19"/>
              </w:rPr>
              <w:t xml:space="preserve">NEVER offer any trial at the Copper N Cloves pop-up location.</w:t>
            </w:r>
          </w:p>
          <w:p>
            <w:pPr>
              <w:spacing w:after="40" w:before="40"/>
            </w:pPr>
            <w:r>
              <w:rPr>
                <w:rFonts w:ascii="Arial" w:cs="Arial" w:eastAsia="Arial" w:hAnsi="Arial"/>
                <w:color w:val="2D2D2D"/>
                <w:sz w:val="19"/>
                <w:szCs w:val="19"/>
              </w:rPr>
              <w:t xml:space="preserve">A trial must be booked in the system BEFORE any confirmation is sent to the prospect.</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4.  PRE-TRIAL — BOOKING, CONFIRMATION &amp; READINESS</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4.1  Booking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During discovery / follow-up conversation: confirm format, location, and eligibility for trial offer.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During contact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Offer 2–3 specific class slots. Never ask 'when are you free?' — specific options drive decisions.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During contact</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Once prospect confirms a slot: book in the system immediately — do not hold without booking.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 of verbal confirmation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Enter trial booking in CRM: date, time, format, location, lead name, executive assigned.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after booking</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booking confirmation message (see Section 4.2).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10 minutes of booking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Set Day-Before reminder task in CRM. Set Morning-Of reminder task.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time of booking</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4.2  Communication Cadence — Pre-Trial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TOUCHPOINT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Booking Confirmation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post-booking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Class confirmed. Date, time, location. Arrival instructions (10 mins early). What to wear/bring.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Day-Before Reminder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before class — before 6 PM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Warm reminder. Date and time confirmation. 'Let me know if anything comes up.'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Morning-Of Message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of class — by 9 AM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Excitement builder. 'Today's the day!' Studio address. 'See you at [time]!'</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4.3  What to Include in the Booking Confirmation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Class name, date, time, and studio address (with Google Maps link if possible)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Instruction to arrive 10 minutes early for orientation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What to wear: comfortable workout clothes, grip socks for Barre (available at studio)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What to bring: water bottle, towel — or note that these are available at the studio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Executive's WhatsApp number or studio number for day-of questions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Newcomers 2-for-1 (paid trial): payment instructions clearly stated in advance</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4.4  Studio Readiness Checklist — Trial Day</w:t>
      </w:r>
    </w:p>
    <w:p>
      <w:pPr>
        <w:spacing w:after="60" w:before="60" w:line="276"/>
      </w:pPr>
      <w:r>
        <w:rPr>
          <w:rFonts w:ascii="Arial" w:cs="Arial" w:eastAsia="Arial" w:hAnsi="Arial"/>
          <w:color w:val="2D2D2D"/>
          <w:sz w:val="20"/>
          <w:szCs w:val="20"/>
        </w:rPr>
        <w:t xml:space="preserve">On the day of a scheduled trial, the executive on duty must complete the following by 30 minutes before the class: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Confirm trial attendee list with class register or booking system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Brief the instructor: trial attendee name, any concerns flagged (injuries, first-timers, etc.)</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Ensure front desk knows to greet the trial member by name upon arrival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Confirm grip socks are available if Barre trial (available to purchase or provide if policy allows)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Ensure the trial member has a reserved spot in class if applicable</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5.  TRIAL DAY — ARRIVAL &amp; WELCOME PROTOCOL</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5.1  The Arrival Experience</w:t>
      </w:r>
    </w:p>
    <w:p>
      <w:pPr>
        <w:spacing w:after="60" w:before="60" w:line="276"/>
      </w:pPr>
      <w:r>
        <w:rPr>
          <w:rFonts w:ascii="Arial" w:cs="Arial" w:eastAsia="Arial" w:hAnsi="Arial"/>
          <w:color w:val="2D2D2D"/>
          <w:sz w:val="20"/>
          <w:szCs w:val="20"/>
        </w:rPr>
        <w:t xml:space="preserve">The arrival experience sets the emotional tone for everything that follows — including the conversion conversation. It must be warm, personal, and effortless for the trial member.</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member arrives. Front desk / executive on duty greets them by name: 'Hi [Name]! We've been expecting you. Welcome to Physique 57!'</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on duty</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minutes of arrival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Offer a brief orientation: where to change, lockers, where to get water, where the class takes place.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upon arrival</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Barre trial: offer or confirm grip socks. Explain protocol for first-timers (back of the barre is perfectly fine).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class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Introduce trial member to the instructor by name if the instructor is available pre-class.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5–10 mins before class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the trial member is settled, has their spot, and knows what to expect from the format.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class starts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Let them know the executive will be around after class to answer any questions.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Just before class starts</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5.2  Arrival Standards — Non-Negotiable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trial member must NEVER arrive and have to introduce themselves unprompted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trial member must NEVER be left standing at the front desk without being acknowledged within 60 seconds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trial member must NEVER be made to feel like a disruption during a busy class changeover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experience of the first 5 minutes at the studio is as important as the 45 minutes of class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6.  DURING THE TRIAL — STUDIO FLOOR STANDARDS</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The executive's role during a trial class is light-touch observation, not intervention. The instructor owns the class experience. However, the executive should: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Remain aware of the trial member's experience — visible but not hovering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Note any visible engagement signals (enjoying the class, struggling, connecting with others)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Be ready to step in if the member appears lost, uncomfortable, or needs assistance with equipment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Not approach the member mid-class for any non-safety reason</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6.1  Instructor Responsibilities During Trial Classes</w:t>
      </w:r>
    </w:p>
    <w:p>
      <w:pPr>
        <w:spacing w:after="60" w:before="60" w:line="276"/>
      </w:pPr>
      <w:r>
        <w:rPr>
          <w:rFonts w:ascii="Arial" w:cs="Arial" w:eastAsia="Arial" w:hAnsi="Arial"/>
          <w:color w:val="2D2D2D"/>
          <w:sz w:val="20"/>
          <w:szCs w:val="20"/>
        </w:rPr>
        <w:t xml:space="preserve">Instructors must be briefed by the executive before every class with a trial attendee. Instructor responsibilities include: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Giving the trial member a warm, specific shout-out at the start (optional but powerful): 'We have some new faces joining us today — welcome!'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Offering appropriate modifications for the first-time format experience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Not singling out the trial member in a way that could feel embarrassing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Checking in with the trial member during any water break if class format allows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Delivering the same high-energy, high-quality class regardless of how many trials are present</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7.  POST-CLASS — THE CONVERSION WINDOW</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POST-CLASS WINDOW — USE IT WISELY</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The 10 minutes after a trial class is the highest-value sales window in the entire customer journey.</w:t>
            </w:r>
          </w:p>
          <w:p>
            <w:pPr>
              <w:spacing w:after="40" w:before="40"/>
            </w:pPr>
            <w:r>
              <w:rPr>
                <w:rFonts w:ascii="Arial" w:cs="Arial" w:eastAsia="Arial" w:hAnsi="Arial"/>
                <w:color w:val="2D2D2D"/>
                <w:sz w:val="19"/>
                <w:szCs w:val="19"/>
              </w:rPr>
              <w:t xml:space="preserve">The prospect's body is alive, their endorphins are high, and their emotional connection to the experience is at its peak.</w:t>
            </w:r>
          </w:p>
          <w:p>
            <w:pPr>
              <w:spacing w:after="40" w:before="40"/>
            </w:pPr>
            <w:r>
              <w:rPr>
                <w:rFonts w:ascii="Arial" w:cs="Arial" w:eastAsia="Arial" w:hAnsi="Arial"/>
                <w:color w:val="2D2D2D"/>
                <w:sz w:val="19"/>
                <w:szCs w:val="19"/>
              </w:rPr>
              <w:t xml:space="preserve">This is not the time to pitch. This is the time to listen, celebrate, and guide — in that order.</w:t>
            </w:r>
          </w:p>
          <w:p>
            <w:pPr>
              <w:spacing w:after="40" w:before="40"/>
            </w:pPr>
            <w:r>
              <w:rPr>
                <w:rFonts w:ascii="Arial" w:cs="Arial" w:eastAsia="Arial" w:hAnsi="Arial"/>
                <w:color w:val="2D2D2D"/>
                <w:sz w:val="19"/>
                <w:szCs w:val="19"/>
              </w:rPr>
              <w:t xml:space="preserve">A premature or clumsy commercial ask at this moment can undo everything the class just built.</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7.1  Post-Class Interaction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Greet the trial member as they exit the class. Be present — not at the desk on a phone.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minutes of class end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Ask an open, experience-focused question: 'How did that feel?' or 'What did you think?' Listen fully before speaking.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First words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Reflect their response back with genuine enthusiasm. Match their energy — don't oversell.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they respond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Ask one or two light follow-up questions about their goals if not already covered in discovery.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Natural flow</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they seem energised and ready — briefly introduce the concept of continuing. Do not present pricing yet.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Only if the room reads right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Offer a studio tour or informal conversation if they have time and interest.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appropriate</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Close the in-person interaction warmly: 'I'll send you a message today with some options I think would suit you well.'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they leave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Log post-class conversation summary in CRM immediately. Note energy level, expressed interest, and any objections raised.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30 minutes</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7.2  Reading the Room — Conversion Readiness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4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'That was amazing! I loved it!'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High emotional buy-in. Very likely to convert.</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Celebrate it. Mention continuing briefly. Send pricing same-day. They are ready.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'That was hard but I enjoyed it'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Positive but needs some recovery time emotionally.</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Celebrate the effort. Don't rush. Let the same-day message land before pitching.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'It was interesting — not sure yet'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Neutral. Needs more information or a second experience.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Focus on understanding what would make it feel right. Offer a follow-up class at a discount.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'It was tough, I'm not sure it's for me'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Low immediate conversion. Potential objection to address.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Ask what felt difficult. It may be format-specific — suggest a different format. Do not push membership today.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Didn't say much, left quickly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Possible overwhelm or disappointment. Or they're introverted.</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interpret silence as rejection. The same-day WhatsApp will reveal more.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8.  POST-TRIAL FOLLOW-UP CADENCE</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Refer to SOP 1.0 Section 8.3 and SOP 3.0 Stage 4 for the full post-trial cadence. Summary below for quick reference: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47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TOUCHPOINT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4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OBJECTIVE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T1 — Experience Anchor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 day — within 2 hours of class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Celebrate the experience. Emotional connection. No pricing.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T2 — Check-In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1 — morning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Call preferred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Understand their reaction. Surface hesitations early. Begin to introduce continuing.</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T3 — Value Add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Relevant insight, success story, or class schedule. Introduce a package recommendation.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T4 — Gentle Push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 + Call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Address objections if any. Soft urgency (class schedule, limited slots, etc. if genuine).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T5 — Close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7</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Forward-moving close question. Make it easy to say 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T6 — Re-engagement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Final active attempt. Reoffer a second trial class if appropriate. Low pressure.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9.  NO-SHOW &amp; CANCELLATION PROTOCOL</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9.1  No-Show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Class ends. Trial member did not attend. Log as NO-SHOW in CRM within 1 hour.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class end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warm, non-accusatory check-in WhatsApp: 'Hey [Name]! Missed you in class today — hope everything is okay. No worries at all! Would love to find another time that works for you.'</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hours of class end</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Attempt a call the following morning if no WhatsApp response.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Next morning by 11 AM</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response within 48 hours: rebook immediately. Offer 2–3 specific slots.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same conversation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no response within 7 days of no-show: reclassify as COLD. Standard nurture cadence applies.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7 post no-show</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2 no-shows for the same lead: flag to Team Leader before any further outreach.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2nd no-show</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9.2  Cancellation Protocol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Acknowledge cancellation graciously — never express disappointment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Immediately offer 2–3 specific rebooking slots — secure the rebook in the same message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Update CRM: mark original booking as CANCELLED, create new booking record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Maximum 2 rescheduling attempts before moving to COLD tier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cancellation with advance notice is very different from a same-day cancellation or no-show — treat accordingly</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10.  MULTI-FORMAT TRIAL HANDLING</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Some prospects wish to trial multiple formats before committing. This is a positive buying signal — they are seriously considering a Studio multi-format membership. The handling requires specific coordination.</w:t>
      </w:r>
    </w:p>
    <w:p>
      <w:pPr>
        <w:spacing w:after="60" w:before="0"/>
      </w:pPr>
      <w:r>
        <w:rPr>
          <w:rFonts w:ascii="Arial" w:cs="Arial" w:eastAsia="Arial" w:hAnsi="Arial"/>
        </w:rPr>
        <w:t xml:space="preserve"/>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Multi-format interest must be logged in CRM at point of discovery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Sequence format trials based on the prospect's stated primary goal (e.g. if goal is strength — start with Strength Lab, follow with Barre)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Space trials no more than 5–7 days apart — extended gaps between trials reduce conversion momentum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Use the inter-trial period for relationship building, not aggressive pitching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After the second trial: present the Studio multi-format unlimited as the natural recommendation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Do not offer a third trial before a conversion conversation — if two trials haven't triggered a decision, explore the real barrier</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11.  TRIAL FEEDBACK CAPTURE</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Trial feedback is operationally valuable beyond just conversion. It helps improve the class experience, identify instructor performance, and surface systemic issues. The following feedback data points must be logged in CRM after every trial:</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FEEDBACK FIELD</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HOW CAPTURED</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WHERE LOGGED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Class attended (format, time, instructor)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From booking system</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trial record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Attendance status (attended / no-show / cancelled)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Post-class check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trial record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Post-class sentiment (positive / neutral / negative / unknown)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Post-class conversation or same-day response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Specific feedback shared (any comment about class, instructor, studio)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From conversation or message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notes — verbatim if possible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Conversion outcome within 14 days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Tracked via CRM stage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 CLOSED-WON or CLOSED-LOST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Reason if no conversion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From conversation or inference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 tag from approved reason list</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12.  CRM STANDARDS FOR TRIAL MEMBERS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3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CRM TAG / STAGE</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TRIAL-BOOKED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class confirmed and entered in booking system</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time of booking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TRIAL-CONFIRMED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Booking confirmation sent to lead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10 minutes of booking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TRIAL-REMINDED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Day-before and morning-of messages sent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Per schedule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TRIAL-ATTENDED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attended trial class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class end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TRIAL-NO-SHOW</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did not attend booked trial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class 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TRIAL-CANCELLED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cancelled before class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When cancellation received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TRIAL-REBOOKED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Rescheduled trial booked after no-show or cancellation</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time of rebook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POST-TRIAL-WARM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Strong positive post-trial sentiment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post-class conversation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POST-TRIAL-NEUTRAL</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Uncertain or mixed sentiment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post-class conversation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POST-TRIAL-COLD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Negative sentiment or unresponsive post-trial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post-class or Day 2 assessment</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13.  KPIs &amp; REPORTING</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 / BENCHMARK</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Booking Rate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qualified leads who book a trial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and improve — segment by source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Attendance Rate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booked trials that are attended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70%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Trial-to-Sale Rate (14 days)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trial attendees who purchase within 14 days of trial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trend monthly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Trial-to-Sale Rate (30 days)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trial attendees who purchase within 30 days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trend monthly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No-Show Rate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booked trials that result in no-shows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 high no-show = weak pre-trial engagement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Average Days Trial-to-Purchase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Average number of days between trial attendance and first purchase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Lower = better conversion cadence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Post-Trial Follow-Up Compliance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trial attendees who receive all 6 post-trial touchpoints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90%</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14.  SOP GOVERNANCE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Quarterly — or immediately upon trial policy change</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Training Requirement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Role-play of Sections 5 and 7 mandatory during onboarding. Studio walkthrough required.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Audit Process</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Team Leader reviews trial attendance and post-trial follow-up logs weekly.</w:t>
            </w:r>
          </w:p>
        </w:tc>
      </w:tr>
    </w:tbl>
    <w:p>
      <w:pPr>
        <w:spacing w:after="80" w:before="0"/>
      </w:pPr>
      <w:r>
        <w:rPr>
          <w:rFonts w:ascii="Arial" w:cs="Arial" w:eastAsia="Arial" w:hAnsi="Arial"/>
        </w:rPr>
        <w:t xml:space="preserve"/>
      </w:r>
    </w:p>
    <w:p>
      <w:pPr>
        <w:shd w:fill="1A3A5C" w:val="clear"/>
        <w:spacing w:after="80" w:before="120"/>
        <w:jc w:val="center"/>
      </w:pPr>
      <w:r>
        <w:rPr>
          <w:rFonts w:ascii="Arial" w:cs="Arial" w:eastAsia="Arial" w:hAnsi="Arial"/>
          <w:b/>
          <w:bCs/>
          <w:color w:val="FFFFFF"/>
          <w:sz w:val="20"/>
          <w:szCs w:val="20"/>
        </w:rPr>
        <w:t xml:space="preserve">PHYSIQUE 57 INDIA — SALES &amp; CLIENT SERVICING DEPARTMENT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6"/>
      </w:pBdr>
      <w:spacing w:after="0" w:before="60"/>
    </w:pPr>
    <w:r>
      <w:rPr>
        <w:rFonts w:ascii="Arial" w:cs="Arial" w:eastAsia="Arial" w:hAnsi="Arial"/>
        <w:color w:val="555555"/>
        <w:sz w:val="16"/>
        <w:szCs w:val="16"/>
      </w:rPr>
      <w:t xml:space="preserve">SOP 4.0 – Trial Member Handling  |  Version 1.0  |  May 2025  |  Internal Use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6"/>
      </w:pBdr>
      <w:spacing w:after="60" w:before="0"/>
    </w:pPr>
    <w:r>
      <w:rPr>
        <w:rFonts w:ascii="Arial" w:cs="Arial" w:eastAsia="Arial" w:hAnsi="Arial"/>
        <w:b/>
        <w:bCs/>
        <w:color w:val="1A3A5C"/>
        <w:sz w:val="18"/>
        <w:szCs w:val="18"/>
      </w:rPr>
      <w:t xml:space="preserve">PHYSIQUE 57 INDIA</w:t>
    </w:r>
    <w:r>
      <w:rPr>
        <w:rFonts w:ascii="Arial" w:cs="Arial" w:eastAsia="Arial" w:hAnsi="Arial"/>
        <w:color w:val="555555"/>
        <w:sz w:val="16"/>
        <w:szCs w:val="16"/>
      </w:rPr>
      <w:t xml:space="preserve">   |   Sales &amp; Client Servicing   |   Trial Member Handling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9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2026-05-11T03:53:59.558Z</dcterms:created>
  <dcterms:modified xsi:type="dcterms:W3CDTF">2026-05-11T03:53:59.558Z</dcterms:modified>
</cp:coreProperties>
</file>

<file path=docProps/custom.xml><?xml version="1.0" encoding="utf-8"?>
<Properties xmlns="http://schemas.openxmlformats.org/officeDocument/2006/custom-properties" xmlns:vt="http://schemas.openxmlformats.org/officeDocument/2006/docPropsVTypes"/>
</file>