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Arial" w:cs="Arial" w:eastAsia="Arial" w:hAnsi="Arial"/>
          <w:b/>
          <w:bCs/>
          <w:color w:val="1A3A6B"/>
          <w:sz w:val="36"/>
          <w:szCs w:val="36"/>
        </w:rPr>
        <w:t xml:space="preserve">Fine-tuning Large Language Models for Radiology Disease Diagnosis</w:t>
      </w:r>
    </w:p>
    <w:p>
      <w:pPr>
        <w:spacing w:after="40" w:before="0"/>
        <w:jc w:val="center"/>
      </w:pPr>
      <w:r>
        <w:rPr>
          <w:rFonts w:ascii="Arial" w:cs="Arial" w:eastAsia="Arial" w:hAnsi="Arial"/>
          <w:color w:val="555555"/>
          <w:sz w:val="22"/>
          <w:szCs w:val="22"/>
        </w:rPr>
        <w:t xml:space="preserve">Technical Report — Coding Test Submission</w:t>
      </w:r>
    </w:p>
    <w:p>
      <w:pPr>
        <w:pBdr>
          <w:bottom w:val="single" w:color="2E5FA3" w:sz="6" w:space="6"/>
        </w:pBdr>
        <w:spacing w:after="320" w:before="0"/>
        <w:jc w:val="center"/>
      </w:pPr>
      <w:r>
        <w:rPr>
          <w:rFonts w:ascii="Arial" w:cs="Arial" w:eastAsia="Arial" w:hAnsi="Arial"/>
          <w:color w:val="555555"/>
          <w:sz w:val="20"/>
          <w:szCs w:val="20"/>
        </w:rPr>
        <w:t xml:space="preserve">Model: Qwen3-4B  |  HuggingFace: Jimmu1215/Qwen3-4B-disease-diagnosis</w:t>
      </w:r>
    </w:p>
    <w:p>
      <w:pPr>
        <w:pStyle w:val="Heading1"/>
        <w:spacing w:after="120" w:before="320"/>
      </w:pPr>
      <w:r>
        <w:rPr>
          <w:rFonts w:ascii="Arial" w:cs="Arial" w:eastAsia="Arial" w:hAnsi="Arial"/>
          <w:b/>
          <w:bCs/>
          <w:sz w:val="28"/>
          <w:szCs w:val="28"/>
        </w:rPr>
        <w:t xml:space="preserve">1. Introduction</w:t>
      </w:r>
    </w:p>
    <w:p>
      <w:pPr>
        <w:spacing w:after="100" w:before="60"/>
      </w:pPr>
      <w:r>
        <w:rPr>
          <w:rFonts w:ascii="Arial" w:cs="Arial" w:eastAsia="Arial" w:hAnsi="Arial"/>
          <w:sz w:val="22"/>
          <w:szCs w:val="22"/>
        </w:rPr>
        <w:t xml:space="preserve">Radiology reports are rich sources of clinical information, but extracting structured diagnoses from free text remains tedious when done manually. This project tackles that problem directly: given a CT or MRI finding in plain English, can a language model reliably output the correct disease labels from a predefined clinical vocabulary?</w:t>
      </w:r>
    </w:p>
    <w:p>
      <w:pPr>
        <w:spacing w:after="100" w:before="60"/>
      </w:pPr>
      <w:r>
        <w:rPr>
          <w:rFonts w:ascii="Arial" w:cs="Arial" w:eastAsia="Arial" w:hAnsi="Arial"/>
          <w:sz w:val="22"/>
          <w:szCs w:val="22"/>
        </w:rPr>
        <w:t xml:space="preserve">The dataset contains 1,236 labeled radiology findings. I split these into 1,000 training and 236 test examples (random seed = 42, held fixed across all experiments). I first tested how well Qwen3-4B performs out of the box with a carefully designed prompt (Task 1), then fine-tuned the same model on the training set using QLoRA (Task 2) to see how much task-specific training helps.</w:t>
      </w:r>
    </w:p>
    <w:p>
      <w:pPr>
        <w:pStyle w:val="Heading1"/>
        <w:spacing w:after="120" w:before="320"/>
      </w:pPr>
      <w:r>
        <w:rPr>
          <w:rFonts w:ascii="Arial" w:cs="Arial" w:eastAsia="Arial" w:hAnsi="Arial"/>
          <w:b/>
          <w:bCs/>
          <w:sz w:val="28"/>
          <w:szCs w:val="28"/>
        </w:rPr>
        <w:t xml:space="preserve">2. Dataset</w:t>
      </w:r>
    </w:p>
    <w:p>
      <w:pPr>
        <w:spacing w:after="100" w:before="60"/>
      </w:pPr>
      <w:r>
        <w:rPr>
          <w:rFonts w:ascii="Arial" w:cs="Arial" w:eastAsia="Arial" w:hAnsi="Arial"/>
          <w:sz w:val="22"/>
          <w:szCs w:val="22"/>
        </w:rPr>
        <w:t xml:space="preserve">The dataset contains 1,236 radiology CT/MRI reports paired with disease labels. Each input is a paragraph-length free-text finding in English; each output is a comma-separated list of disease names drawn from a fixed vocabulary of 84 categories. On average, each finding is labeled with 2.28 diseases, though the distribution is quite skewed: the four most common labels (Renal cyst, Liver cyst, Kidney stone, Liver lesion) account for a large fraction of all annotations, while about a dozen labels appear fewer than 10 times in the entire dataset.</w:t>
      </w:r>
    </w:p>
    <w:p>
      <w:pPr>
        <w:spacing w:after="100" w:before="60"/>
      </w:pPr>
      <w:r>
        <w:rPr>
          <w:rFonts w:ascii="Arial" w:cs="Arial" w:eastAsia="Arial" w:hAnsi="Arial"/>
          <w:sz w:val="22"/>
          <w:szCs w:val="22"/>
        </w:rPr>
        <w:t xml:space="preserve">One thing I noticed while exploring the labels: there are a few near-duplicates in the vocabulary, such as “Polycystic kidney” and “Polycystic kidneys”, and “Enteritis” versus “Enteritis possible”. These appear to reflect annotator inconsistency rather than clinically distinct categories, and they turn out to cause some interesting errors at evaluation time.</w:t>
      </w:r>
    </w:p>
    <w:p>
      <w:pPr>
        <w:pStyle w:val="Heading1"/>
        <w:spacing w:after="120" w:before="320"/>
      </w:pPr>
      <w:r>
        <w:rPr>
          <w:rFonts w:ascii="Arial" w:cs="Arial" w:eastAsia="Arial" w:hAnsi="Arial"/>
          <w:b/>
          <w:bCs/>
          <w:sz w:val="28"/>
          <w:szCs w:val="28"/>
        </w:rPr>
        <w:t xml:space="preserve">3. Evaluation Metric</w:t>
      </w:r>
    </w:p>
    <w:p>
      <w:pPr>
        <w:spacing w:after="100" w:before="60"/>
      </w:pPr>
      <w:r>
        <w:rPr>
          <w:rFonts w:ascii="Arial" w:cs="Arial" w:eastAsia="Arial" w:hAnsi="Arial"/>
          <w:sz w:val="22"/>
          <w:szCs w:val="22"/>
        </w:rPr>
        <w:t xml:space="preserve">Choosing the right metric here took some thought. The output is an unordered set of labels, so standard sequence metrics like BLEU or ROUGE do not apply cleanly — they would penalize “Renal cyst, Liver cyst” differently from “Liver cyst, Renal cyst” even though they mean the same thing. Simple exact-match accuracy is too strict: a prediction that gets two out of three labels right should not score zero.</w:t>
      </w:r>
    </w:p>
    <w:p>
      <w:pPr>
        <w:spacing w:after="100" w:before="60"/>
      </w:pPr>
      <w:r>
        <w:rPr>
          <w:rFonts w:ascii="Arial" w:cs="Arial" w:eastAsia="Arial" w:hAnsi="Arial"/>
          <w:sz w:val="22"/>
          <w:szCs w:val="22"/>
        </w:rPr>
        <w:t xml:space="preserve">I settled on entity-level macro F1 as the primary metric. Each comma-separated disease name is treated as one entity, normalized to lowercase before comparison. For each test sample I compute:</w:t>
      </w:r>
    </w:p>
    <w:p>
      <w:pPr>
        <w:pStyle w:val="ListParagraph"/>
        <w:numPr>
          <w:ilvl w:val="0"/>
          <w:numId w:val="2"/>
        </w:numPr>
        <w:spacing w:after="40" w:before="40"/>
      </w:pPr>
      <w:r>
        <w:rPr>
          <w:rFonts w:ascii="Arial" w:cs="Arial" w:eastAsia="Arial" w:hAnsi="Arial"/>
          <w:sz w:val="22"/>
          <w:szCs w:val="22"/>
        </w:rPr>
        <w:t xml:space="preserve">Precision = correctly predicted labels / total predicted labels</w:t>
      </w:r>
    </w:p>
    <w:p>
      <w:pPr>
        <w:pStyle w:val="ListParagraph"/>
        <w:numPr>
          <w:ilvl w:val="0"/>
          <w:numId w:val="2"/>
        </w:numPr>
        <w:spacing w:after="40" w:before="40"/>
      </w:pPr>
      <w:r>
        <w:rPr>
          <w:rFonts w:ascii="Arial" w:cs="Arial" w:eastAsia="Arial" w:hAnsi="Arial"/>
          <w:sz w:val="22"/>
          <w:szCs w:val="22"/>
        </w:rPr>
        <w:t xml:space="preserve">Recall = correctly predicted labels / total gold labels</w:t>
      </w:r>
    </w:p>
    <w:p>
      <w:pPr>
        <w:pStyle w:val="ListParagraph"/>
        <w:numPr>
          <w:ilvl w:val="0"/>
          <w:numId w:val="2"/>
        </w:numPr>
        <w:spacing w:after="40" w:before="40"/>
      </w:pPr>
      <w:r>
        <w:rPr>
          <w:rFonts w:ascii="Arial" w:cs="Arial" w:eastAsia="Arial" w:hAnsi="Arial"/>
          <w:sz w:val="22"/>
          <w:szCs w:val="22"/>
        </w:rPr>
        <w:t xml:space="preserve">F1 = harmonic mean of precision and recall</w:t>
      </w:r>
    </w:p>
    <w:p>
      <w:pPr>
        <w:spacing w:after="60" w:before="60"/>
      </w:pPr>
      <w:r>
        <w:t xml:space="preserve"/>
      </w:r>
    </w:p>
    <w:p>
      <w:pPr>
        <w:spacing w:after="100" w:before="60"/>
      </w:pPr>
      <w:r>
        <w:rPr>
          <w:rFonts w:ascii="Arial" w:cs="Arial" w:eastAsia="Arial" w:hAnsi="Arial"/>
          <w:sz w:val="22"/>
          <w:szCs w:val="22"/>
        </w:rPr>
        <w:t xml:space="preserve">These are then averaged across all 236 test samples. I also report Jaccard similarity (intersection over union of the two label sets) and Exact Match rate as secondary metrics. Exact Match in particular is a useful sanity check: an Exact Match of 0.09 in the zero-shot setting tells you that getting every single label exactly right is rare, even when the F1 is reasonable — which makes sense given the label ambiguities described above.</w:t>
      </w:r>
    </w:p>
    <w:p>
      <w:pPr>
        <w:pStyle w:val="Heading1"/>
        <w:spacing w:after="120" w:before="320"/>
      </w:pPr>
      <w:r>
        <w:rPr>
          <w:rFonts w:ascii="Arial" w:cs="Arial" w:eastAsia="Arial" w:hAnsi="Arial"/>
          <w:b/>
          <w:bCs/>
          <w:sz w:val="28"/>
          <w:szCs w:val="28"/>
        </w:rPr>
        <w:t xml:space="preserve">4. Task 1 — Zero-Shot Baseline with Prompt Engineering</w:t>
      </w:r>
    </w:p>
    <w:p>
      <w:pPr>
        <w:pStyle w:val="Heading2"/>
        <w:spacing w:after="80" w:before="240"/>
      </w:pPr>
      <w:r>
        <w:rPr>
          <w:rFonts w:ascii="Arial" w:cs="Arial" w:eastAsia="Arial" w:hAnsi="Arial"/>
          <w:b/>
          <w:bCs/>
          <w:color w:val="2E5FA3"/>
          <w:sz w:val="24"/>
          <w:szCs w:val="24"/>
        </w:rPr>
        <w:t xml:space="preserve">4.1 Prompt Design</w:t>
      </w:r>
    </w:p>
    <w:p>
      <w:pPr>
        <w:spacing w:after="100" w:before="60"/>
      </w:pPr>
      <w:r>
        <w:rPr>
          <w:rFonts w:ascii="Arial" w:cs="Arial" w:eastAsia="Arial" w:hAnsi="Arial"/>
          <w:sz w:val="22"/>
          <w:szCs w:val="22"/>
        </w:rPr>
        <w:t xml:space="preserve">My initial intuition was that the biggest source of error in a naive zero-shot prompt would be label name mismatch: the model might correctly identify that a patient has a cyst in the kidney, but write “kidney cyst” or “renal cyst lesion” instead of the exact string “Renal cyst” required by the gold standard. To address this, I included the full list of 84 approved labels directly in the system prompt, essentially turning the task from open-ended generation into constrained selection.</w:t>
      </w:r>
    </w:p>
    <w:p>
      <w:pPr>
        <w:spacing w:after="100" w:before="60"/>
      </w:pPr>
      <w:r>
        <w:rPr>
          <w:rFonts w:ascii="Arial" w:cs="Arial" w:eastAsia="Arial" w:hAnsi="Arial"/>
          <w:sz w:val="22"/>
          <w:szCs w:val="22"/>
        </w:rPr>
        <w:t xml:space="preserve">Alongside the vocabulary, I added three few-shot examples drawn from the training set, covering a simple single-label case, a two-label case, and a three-label case. The goal was to demonstrate the exact output format (comma-separated, no explanations) without the model needing to infer it.</w:t>
      </w:r>
    </w:p>
    <w:p>
      <w:pPr>
        <w:spacing w:after="100" w:before="60"/>
      </w:pPr>
      <w:r>
        <w:rPr>
          <w:rFonts w:ascii="Arial" w:cs="Arial" w:eastAsia="Arial" w:hAnsi="Arial"/>
          <w:sz w:val="22"/>
          <w:szCs w:val="22"/>
        </w:rPr>
        <w:t xml:space="preserve">I also disabled Qwen3’s thinking mode (enable_thinking=False). Qwen3 can generate a long internal reasoning trace before answering, which is useful for complex tasks but adds latency and was not needed here — the model just needs to match findings to labels, not reason through clinical logic step by step.</w:t>
      </w:r>
    </w:p>
    <w:p>
      <w:pPr>
        <w:spacing w:after="60" w:before="60"/>
      </w:pPr>
      <w:r>
        <w:t xml:space="preserve"/>
      </w:r>
    </w:p>
    <w:p>
      <w:pPr>
        <w:pStyle w:val="Heading2"/>
        <w:spacing w:after="80" w:before="240"/>
      </w:pPr>
      <w:r>
        <w:rPr>
          <w:rFonts w:ascii="Arial" w:cs="Arial" w:eastAsia="Arial" w:hAnsi="Arial"/>
          <w:b/>
          <w:bCs/>
          <w:color w:val="2E5FA3"/>
          <w:sz w:val="24"/>
          <w:szCs w:val="24"/>
        </w:rPr>
        <w:t xml:space="preserve">4.2 Results</w:t>
      </w:r>
    </w:p>
    <w:p>
      <w:pPr>
        <w:spacing w:after="100" w:before="60"/>
      </w:pPr>
      <w:r>
        <w:rPr>
          <w:rFonts w:ascii="Arial" w:cs="Arial" w:eastAsia="Arial" w:hAnsi="Arial"/>
          <w:sz w:val="22"/>
          <w:szCs w:val="22"/>
        </w:rPr>
        <w:t xml:space="preserve">Running Qwen3-4B (4-bit NF4 quantization) on the 236 test samples gave the following results:</w:t>
      </w:r>
    </w:p>
    <w:p>
      <w:pPr>
        <w:pStyle w:val="ListParagraph"/>
        <w:numPr>
          <w:ilvl w:val="0"/>
          <w:numId w:val="2"/>
        </w:numPr>
        <w:spacing w:after="40" w:before="40"/>
      </w:pPr>
      <w:r>
        <w:rPr>
          <w:rFonts w:ascii="Arial" w:cs="Arial" w:eastAsia="Arial" w:hAnsi="Arial"/>
          <w:sz w:val="22"/>
          <w:szCs w:val="22"/>
        </w:rPr>
        <w:t xml:space="preserve">Precision: 0.4202  |  Recall: 0.4931  |  F1: 0.4340</w:t>
      </w:r>
    </w:p>
    <w:p>
      <w:pPr>
        <w:pStyle w:val="ListParagraph"/>
        <w:numPr>
          <w:ilvl w:val="0"/>
          <w:numId w:val="2"/>
        </w:numPr>
        <w:spacing w:after="40" w:before="40"/>
      </w:pPr>
      <w:r>
        <w:rPr>
          <w:rFonts w:ascii="Arial" w:cs="Arial" w:eastAsia="Arial" w:hAnsi="Arial"/>
          <w:sz w:val="22"/>
          <w:szCs w:val="22"/>
        </w:rPr>
        <w:t xml:space="preserve">Jaccard: 0.3356  |  Exact Match: 0.0932</w:t>
      </w:r>
    </w:p>
    <w:p>
      <w:pPr>
        <w:spacing w:after="60" w:before="60"/>
      </w:pPr>
      <w:r>
        <w:t xml:space="preserve"/>
      </w:r>
    </w:p>
    <w:p>
      <w:pPr>
        <w:spacing w:after="100" w:before="60"/>
      </w:pPr>
      <w:r>
        <w:rPr>
          <w:rFonts w:ascii="Arial" w:cs="Arial" w:eastAsia="Arial" w:hAnsi="Arial"/>
          <w:sz w:val="22"/>
          <w:szCs w:val="22"/>
        </w:rPr>
        <w:t xml:space="preserve">Honestly, the vocabulary constraint helped less than I expected. Looking at the actual predictions, the model was still generating labels outside the vocabulary in many cases — it would write “Kidney cyst” instead of “Renal cyst” despite being shown the approved list. This suggests that 4B-scale models struggle to reliably follow long constraint lists in the system prompt, even with few-shot examples. The more fundamental issue is that the model has no task-specific supervision, so it falls back on general language priors rather than the clinical label conventions in this dataset.</w:t>
      </w:r>
    </w:p>
    <w:p>
      <w:pPr>
        <w:pStyle w:val="Heading1"/>
        <w:spacing w:after="120" w:before="320"/>
      </w:pPr>
      <w:r>
        <w:rPr>
          <w:rFonts w:ascii="Arial" w:cs="Arial" w:eastAsia="Arial" w:hAnsi="Arial"/>
          <w:b/>
          <w:bCs/>
          <w:sz w:val="28"/>
          <w:szCs w:val="28"/>
        </w:rPr>
        <w:t xml:space="preserve">5. Task 2 — Efficient Fine-Tuning with QLoRA</w:t>
      </w:r>
    </w:p>
    <w:p>
      <w:pPr>
        <w:pStyle w:val="Heading2"/>
        <w:spacing w:after="80" w:before="240"/>
      </w:pPr>
      <w:r>
        <w:rPr>
          <w:rFonts w:ascii="Arial" w:cs="Arial" w:eastAsia="Arial" w:hAnsi="Arial"/>
          <w:b/>
          <w:bCs/>
          <w:color w:val="2E5FA3"/>
          <w:sz w:val="24"/>
          <w:szCs w:val="24"/>
        </w:rPr>
        <w:t xml:space="preserve">5.1 Why Fine-Tune</w:t>
      </w:r>
    </w:p>
    <w:p>
      <w:pPr>
        <w:spacing w:after="100" w:before="60"/>
      </w:pPr>
      <w:r>
        <w:rPr>
          <w:rFonts w:ascii="Arial" w:cs="Arial" w:eastAsia="Arial" w:hAnsi="Arial"/>
          <w:sz w:val="22"/>
          <w:szCs w:val="22"/>
        </w:rPr>
        <w:t xml:space="preserve">The zero-shot results made the motivation for fine-tuning clear. The model was making two kinds of mistakes consistently: it was being overly conservative (defaulting to “No acute abnormality” when findings were subtle), and it was using the wrong label names even when it understood the underlying pathology. Both of these are exactly the kinds of errors that supervised training should fix — the model just needs to see enough examples of the correct input-output pairs to learn the task convention.</w:t>
      </w:r>
    </w:p>
    <w:p>
      <w:pPr>
        <w:pStyle w:val="Heading2"/>
        <w:spacing w:after="80" w:before="240"/>
      </w:pPr>
      <w:r>
        <w:rPr>
          <w:rFonts w:ascii="Arial" w:cs="Arial" w:eastAsia="Arial" w:hAnsi="Arial"/>
          <w:b/>
          <w:bCs/>
          <w:color w:val="2E5FA3"/>
          <w:sz w:val="24"/>
          <w:szCs w:val="24"/>
        </w:rPr>
        <w:t xml:space="preserve">5.2 Why QLoRA Instead of Full Fine-Tuning</w:t>
      </w:r>
    </w:p>
    <w:p>
      <w:pPr>
        <w:spacing w:after="100" w:before="60"/>
      </w:pPr>
      <w:r>
        <w:rPr>
          <w:rFonts w:ascii="Arial" w:cs="Arial" w:eastAsia="Arial" w:hAnsi="Arial"/>
          <w:sz w:val="22"/>
          <w:szCs w:val="22"/>
        </w:rPr>
        <w:t xml:space="preserve">Full fine-tuning of a 4B model would require around 80 GB of GPU memory, which rules out consumer hardware entirely. QLoRA makes this tractable by combining two ideas: the base model weights are quantized to 4-bit precision (reducing memory from ~16 GB to ~4 GB), and training only adds small low-rank “adapter” matrices alongside the frozen base weights. In practice, this meant training about 33 million parameters (0.81% of the total) on a 15 GB Colab T4 GPU, with peak memory usage around 10 GB.</w:t>
      </w:r>
    </w:p>
    <w:p>
      <w:pPr>
        <w:spacing w:after="100" w:before="60"/>
      </w:pPr>
      <w:r>
        <w:rPr>
          <w:rFonts w:ascii="Arial" w:cs="Arial" w:eastAsia="Arial" w:hAnsi="Arial"/>
          <w:sz w:val="22"/>
          <w:szCs w:val="22"/>
        </w:rPr>
        <w:t xml:space="preserve">I used Unsloth as the training framework rather than vanilla PEFT, primarily because it handles gradient offloading more efficiently and is significantly faster on T4 hardware. The training configuration is listed below.</w:t>
      </w:r>
    </w:p>
    <w:p>
      <w:pPr>
        <w:pStyle w:val="Heading2"/>
        <w:spacing w:after="80" w:before="240"/>
      </w:pPr>
      <w:r>
        <w:rPr>
          <w:rFonts w:ascii="Arial" w:cs="Arial" w:eastAsia="Arial" w:hAnsi="Arial"/>
          <w:b/>
          <w:bCs/>
          <w:color w:val="2E5FA3"/>
          <w:sz w:val="24"/>
          <w:szCs w:val="24"/>
        </w:rPr>
        <w:t xml:space="preserve">5.3 Training Setup</w:t>
      </w:r>
    </w:p>
    <w:p>
      <w:pPr>
        <w:pStyle w:val="ListParagraph"/>
        <w:numPr>
          <w:ilvl w:val="0"/>
          <w:numId w:val="2"/>
        </w:numPr>
        <w:spacing w:after="40" w:before="40"/>
      </w:pPr>
      <w:r>
        <w:rPr>
          <w:rFonts w:ascii="Arial" w:cs="Arial" w:eastAsia="Arial" w:hAnsi="Arial"/>
          <w:sz w:val="22"/>
          <w:szCs w:val="22"/>
        </w:rPr>
        <w:t xml:space="preserve">Base model: unsloth/Qwen3-4B-bnb-4bit</w:t>
      </w:r>
    </w:p>
    <w:p>
      <w:pPr>
        <w:pStyle w:val="ListParagraph"/>
        <w:numPr>
          <w:ilvl w:val="0"/>
          <w:numId w:val="2"/>
        </w:numPr>
        <w:spacing w:after="40" w:before="40"/>
      </w:pPr>
      <w:r>
        <w:rPr>
          <w:rFonts w:ascii="Arial" w:cs="Arial" w:eastAsia="Arial" w:hAnsi="Arial"/>
          <w:sz w:val="22"/>
          <w:szCs w:val="22"/>
        </w:rPr>
        <w:t xml:space="preserve">LoRA rank: 16, alpha: 16, dropout: 0.05</w:t>
      </w:r>
    </w:p>
    <w:p>
      <w:pPr>
        <w:pStyle w:val="ListParagraph"/>
        <w:numPr>
          <w:ilvl w:val="0"/>
          <w:numId w:val="2"/>
        </w:numPr>
        <w:spacing w:after="40" w:before="40"/>
      </w:pPr>
      <w:r>
        <w:rPr>
          <w:rFonts w:ascii="Arial" w:cs="Arial" w:eastAsia="Arial" w:hAnsi="Arial"/>
          <w:sz w:val="22"/>
          <w:szCs w:val="22"/>
        </w:rPr>
        <w:t xml:space="preserve">Target modules: all attention and MLP projection layers</w:t>
      </w:r>
    </w:p>
    <w:p>
      <w:pPr>
        <w:pStyle w:val="ListParagraph"/>
        <w:numPr>
          <w:ilvl w:val="0"/>
          <w:numId w:val="2"/>
        </w:numPr>
        <w:spacing w:after="40" w:before="40"/>
      </w:pPr>
      <w:r>
        <w:rPr>
          <w:rFonts w:ascii="Arial" w:cs="Arial" w:eastAsia="Arial" w:hAnsi="Arial"/>
          <w:sz w:val="22"/>
          <w:szCs w:val="22"/>
        </w:rPr>
        <w:t xml:space="preserve">Optimizer: paged_adamw_8bit, learning rate 2e-4 with cosine decay</w:t>
      </w:r>
    </w:p>
    <w:p>
      <w:pPr>
        <w:pStyle w:val="ListParagraph"/>
        <w:numPr>
          <w:ilvl w:val="0"/>
          <w:numId w:val="2"/>
        </w:numPr>
        <w:spacing w:after="40" w:before="40"/>
      </w:pPr>
      <w:r>
        <w:rPr>
          <w:rFonts w:ascii="Arial" w:cs="Arial" w:eastAsia="Arial" w:hAnsi="Arial"/>
          <w:sz w:val="22"/>
          <w:szCs w:val="22"/>
        </w:rPr>
        <w:t xml:space="preserve">Effective batch size: 16 (per-device batch 2, gradient accumulation 8)</w:t>
      </w:r>
    </w:p>
    <w:p>
      <w:pPr>
        <w:pStyle w:val="ListParagraph"/>
        <w:numPr>
          <w:ilvl w:val="0"/>
          <w:numId w:val="2"/>
        </w:numPr>
        <w:spacing w:after="40" w:before="40"/>
      </w:pPr>
      <w:r>
        <w:rPr>
          <w:rFonts w:ascii="Arial" w:cs="Arial" w:eastAsia="Arial" w:hAnsi="Arial"/>
          <w:sz w:val="22"/>
          <w:szCs w:val="22"/>
        </w:rPr>
        <w:t xml:space="preserve">3 epochs over 1,000 training samples (189 steps total)</w:t>
      </w:r>
    </w:p>
    <w:p>
      <w:pPr>
        <w:pStyle w:val="ListParagraph"/>
        <w:numPr>
          <w:ilvl w:val="0"/>
          <w:numId w:val="2"/>
        </w:numPr>
        <w:spacing w:after="40" w:before="40"/>
      </w:pPr>
      <w:r>
        <w:rPr>
          <w:rFonts w:ascii="Arial" w:cs="Arial" w:eastAsia="Arial" w:hAnsi="Arial"/>
          <w:sz w:val="22"/>
          <w:szCs w:val="22"/>
        </w:rPr>
        <w:t xml:space="preserve">Max sequence length: 1,024 tokens  |  Hardware: NVIDIA T4, 30.8 minutes</w:t>
      </w:r>
    </w:p>
    <w:p>
      <w:pPr>
        <w:spacing w:after="60" w:before="60"/>
      </w:pPr>
      <w:r>
        <w:t xml:space="preserve"/>
      </w:r>
    </w:p>
    <w:p>
      <w:pPr>
        <w:spacing w:after="100" w:before="60"/>
      </w:pPr>
      <w:r>
        <w:rPr>
          <w:rFonts w:ascii="Arial" w:cs="Arial" w:eastAsia="Arial" w:hAnsi="Arial"/>
          <w:sz w:val="22"/>
          <w:szCs w:val="22"/>
        </w:rPr>
        <w:t xml:space="preserve">Each training sample was formatted as a three-turn conversation: a system message with task instructions, a user message containing the finding, and an assistant message containing the gold disease labels. Only the assistant turn tokens contribute to the loss.</w:t>
      </w:r>
    </w:p>
    <w:p>
      <w:pPr>
        <w:pStyle w:val="Heading2"/>
        <w:spacing w:after="80" w:before="240"/>
      </w:pPr>
      <w:r>
        <w:rPr>
          <w:rFonts w:ascii="Arial" w:cs="Arial" w:eastAsia="Arial" w:hAnsi="Arial"/>
          <w:b/>
          <w:bCs/>
          <w:color w:val="2E5FA3"/>
          <w:sz w:val="24"/>
          <w:szCs w:val="24"/>
        </w:rPr>
        <w:t xml:space="preserve">5.4 Training Dynamics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Step</w:t>
            </w:r>
          </w:p>
        </w:tc>
        <w:tc>
          <w:tcPr>
            <w:tcW w:type="dxa" w:w="234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Training Loss</w:t>
            </w:r>
          </w:p>
        </w:tc>
        <w:tc>
          <w:tcPr>
            <w:tcW w:type="dxa" w:w="234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Validation Loss</w:t>
            </w:r>
          </w:p>
        </w:tc>
        <w:tc>
          <w:tcPr>
            <w:tcW w:type="dxa" w:w="234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Note</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100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0.7891</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0.8140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Mid-training</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189 (final)</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0.7248</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0.7836</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Converged</w:t>
            </w:r>
          </w:p>
        </w:tc>
      </w:tr>
    </w:tbl>
    <w:p>
      <w:pPr>
        <w:spacing w:after="60" w:before="60"/>
      </w:pPr>
      <w:r>
        <w:t xml:space="preserve"/>
      </w:r>
    </w:p>
    <w:p>
      <w:pPr>
        <w:spacing w:after="100" w:before="60"/>
      </w:pPr>
      <w:r>
        <w:rPr>
          <w:rFonts w:ascii="Arial" w:cs="Arial" w:eastAsia="Arial" w:hAnsi="Arial"/>
          <w:sz w:val="22"/>
          <w:szCs w:val="22"/>
        </w:rPr>
        <w:t xml:space="preserve">The loss curve looked healthy throughout. Training loss dropped from around 0.79 to 0.72 over 189 steps, and validation loss tracked closely behind with a gap of roughly 0.06 — small enough that overfitting does not appear to be a concern, which makes sense given that the training set is reasonably large relative to the number of trainable parameters.</w:t>
      </w:r>
    </w:p>
    <w:p>
      <w:pPr>
        <w:pStyle w:val="Heading2"/>
        <w:spacing w:after="80" w:before="240"/>
      </w:pPr>
      <w:r>
        <w:rPr>
          <w:rFonts w:ascii="Arial" w:cs="Arial" w:eastAsia="Arial" w:hAnsi="Arial"/>
          <w:b/>
          <w:bCs/>
          <w:color w:val="2E5FA3"/>
          <w:sz w:val="24"/>
          <w:szCs w:val="24"/>
        </w:rPr>
        <w:t xml:space="preserve">5.5 Trained Model</w:t>
      </w:r>
    </w:p>
    <w:p>
      <w:pPr>
        <w:spacing w:after="100" w:before="60"/>
      </w:pPr>
      <w:r>
        <w:rPr>
          <w:rFonts w:ascii="Arial" w:cs="Arial" w:eastAsia="Arial" w:hAnsi="Arial"/>
          <w:sz w:val="22"/>
          <w:szCs w:val="22"/>
        </w:rPr>
        <w:t xml:space="preserve">The LoRA adapter is uploaded to HuggingFace and can be loaded on top of the base Qwen3-4B model:</w:t>
      </w:r>
    </w:p>
    <w:p>
      <w:pPr>
        <w:spacing w:after="100" w:before="60"/>
      </w:pPr>
      <w:r>
        <w:rPr>
          <w:rFonts w:ascii="Courier New" w:cs="Courier New" w:eastAsia="Courier New" w:hAnsi="Courier New"/>
          <w:color w:val="2E5FA3"/>
          <w:sz w:val="22"/>
          <w:szCs w:val="22"/>
        </w:rPr>
        <w:t xml:space="preserve">https://huggingface.co/Jimmu1215/Qwen3-4B-disease-diagnosis</w:t>
      </w:r>
    </w:p>
    <w:p>
      <w:pPr>
        <w:pStyle w:val="Heading1"/>
        <w:spacing w:after="120" w:before="320"/>
      </w:pPr>
      <w:r>
        <w:rPr>
          <w:rFonts w:ascii="Arial" w:cs="Arial" w:eastAsia="Arial" w:hAnsi="Arial"/>
          <w:b/>
          <w:bCs/>
          <w:sz w:val="28"/>
          <w:szCs w:val="28"/>
        </w:rPr>
        <w:t xml:space="preserve">6. Results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100"/>
        <w:gridCol w:w="1000"/>
        <w:gridCol w:w="900"/>
        <w:gridCol w:w="1100"/>
        <w:gridCol w:w="1560"/>
      </w:tblGrid>
      <w:tr>
        <w:tc>
          <w:tcPr>
            <w:tcW w:type="dxa" w:w="15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Model</w:t>
            </w:r>
          </w:p>
        </w:tc>
        <w:tc>
          <w:tcPr>
            <w:tcW w:type="dxa" w:w="21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Setting</w:t>
            </w:r>
          </w:p>
        </w:tc>
        <w:tc>
          <w:tcPr>
            <w:tcW w:type="dxa" w:w="11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Precision</w:t>
            </w:r>
          </w:p>
        </w:tc>
        <w:tc>
          <w:tcPr>
            <w:tcW w:type="dxa" w:w="10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Recall</w:t>
            </w:r>
          </w:p>
        </w:tc>
        <w:tc>
          <w:tcPr>
            <w:tcW w:type="dxa" w:w="9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F1</w:t>
            </w:r>
          </w:p>
        </w:tc>
        <w:tc>
          <w:tcPr>
            <w:tcW w:type="dxa" w:w="110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Jaccard</w:t>
            </w:r>
          </w:p>
        </w:tc>
        <w:tc>
          <w:tcPr>
            <w:tcW w:type="dxa" w:w="1560"/>
            <w:tcBorders>
              <w:top w:val="single" w:color="AAAAAA" w:sz="1"/>
              <w:left w:val="single" w:color="AAAAAA" w:sz="1"/>
              <w:bottom w:val="single" w:color="AAAAAA" w:sz="1"/>
              <w:right w:val="single" w:color="AAAAAA" w:sz="1"/>
            </w:tcBorders>
            <w:shd w:fill="2E5FA3" w:val="clear"/>
            <w:tcMar>
              <w:top w:type="dxa" w:w="80"/>
              <w:left w:type="dxa" w:w="120"/>
              <w:bottom w:type="dxa" w:w="80"/>
              <w:right w:type="dxa" w:w="120"/>
            </w:tcMar>
            <w:vAlign w:val="center"/>
          </w:tcPr>
          <w:p>
            <w:pPr>
              <w:jc w:val="center"/>
            </w:pPr>
            <w:r>
              <w:rPr>
                <w:rFonts w:ascii="Arial" w:cs="Arial" w:eastAsia="Arial" w:hAnsi="Arial"/>
                <w:b/>
                <w:bCs/>
                <w:color w:val="FFFFFF"/>
                <w:sz w:val="18"/>
                <w:szCs w:val="18"/>
              </w:rPr>
              <w:t xml:space="preserve">Exact Match</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Qwen3-4B</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Zero-shot (Task 1)</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0.4202</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0.4931</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0.4340</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0.3356</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0.0932</w:t>
            </w:r>
          </w:p>
        </w:tc>
      </w:tr>
      <w:tr>
        <w:tc>
          <w:tcPr>
            <w:tcW w:type="dxa" w:w="15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Qwen3-4B</w:t>
            </w:r>
          </w:p>
        </w:tc>
        <w:tc>
          <w:tcPr>
            <w:tcW w:type="dxa" w:w="2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Fine-tuned QLoRA (Task 2)</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10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9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0.6734</w:t>
            </w:r>
          </w:p>
        </w:tc>
        <w:tc>
          <w:tcPr>
            <w:tcW w:type="dxa" w:w="110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w:t>
            </w:r>
          </w:p>
        </w:tc>
        <w:tc>
          <w:tcPr>
            <w:tcW w:type="dxa" w:w="156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000000"/>
                <w:sz w:val="18"/>
                <w:szCs w:val="18"/>
              </w:rPr>
              <w:t xml:space="preserve">—</w:t>
            </w:r>
          </w:p>
        </w:tc>
      </w:tr>
    </w:tbl>
    <w:p>
      <w:pPr>
        <w:spacing w:after="60" w:before="60"/>
      </w:pPr>
      <w:r>
        <w:t xml:space="preserve"/>
      </w:r>
    </w:p>
    <w:p>
      <w:pPr>
        <w:spacing w:after="100" w:before="60"/>
      </w:pPr>
      <w:r>
        <w:rPr>
          <w:rFonts w:ascii="Arial" w:cs="Arial" w:eastAsia="Arial" w:hAnsi="Arial"/>
          <w:sz w:val="22"/>
          <w:szCs w:val="22"/>
        </w:rPr>
        <w:t xml:space="preserve">Fine-tuning improves F1 from 0.43 to 0.67, a gain of 0.24 absolute points (55% relative). This is a meaningful jump for a model trained on only 1,000 examples in under 31 minutes on free Colab hardware. The result confirms that the zero-shot prompt engineering gap was primarily a supervision gap, not a model capacity gap: the 4B model already “knows” the relevant medical concepts, but without task-specific examples it does not know how to map them to the exact label convention used in this dataset.</w:t>
      </w:r>
    </w:p>
    <w:p>
      <w:pPr>
        <w:pStyle w:val="Heading1"/>
        <w:spacing w:after="120" w:before="320"/>
      </w:pPr>
      <w:r>
        <w:rPr>
          <w:rFonts w:ascii="Arial" w:cs="Arial" w:eastAsia="Arial" w:hAnsi="Arial"/>
          <w:b/>
          <w:bCs/>
          <w:sz w:val="28"/>
          <w:szCs w:val="28"/>
        </w:rPr>
        <w:t xml:space="preserve">7. Failure Case Analysis</w:t>
      </w:r>
    </w:p>
    <w:p>
      <w:pPr>
        <w:pStyle w:val="Heading2"/>
        <w:spacing w:after="80" w:before="240"/>
      </w:pPr>
      <w:r>
        <w:rPr>
          <w:rFonts w:ascii="Arial" w:cs="Arial" w:eastAsia="Arial" w:hAnsi="Arial"/>
          <w:b/>
          <w:bCs/>
          <w:color w:val="2E5FA3"/>
          <w:sz w:val="24"/>
          <w:szCs w:val="24"/>
        </w:rPr>
        <w:t xml:space="preserve">7.1 Zero-Shot Errors</w:t>
      </w:r>
    </w:p>
    <w:p>
      <w:pPr>
        <w:spacing w:after="100" w:before="60"/>
      </w:pPr>
      <w:r>
        <w:rPr>
          <w:rFonts w:ascii="Arial" w:cs="Arial" w:eastAsia="Arial" w:hAnsi="Arial"/>
          <w:sz w:val="22"/>
          <w:szCs w:val="22"/>
        </w:rPr>
        <w:t xml:space="preserve">Looking at the worst-performing zero-shot predictions, two patterns dominate. The first is over-caution: the model outputs “No acute abnormality” for findings that clearly describe pathology. A typical example is a finding mentioning “mild fatty infiltration of the liver” being predicted as negative — the model seems to treat subtle or hedged language as insufficient evidence to commit to a label. This likely reflects a general-purpose safety prior baked in during pretraining.</w:t>
      </w:r>
    </w:p>
    <w:p>
      <w:pPr>
        <w:spacing w:after="100" w:before="60"/>
      </w:pPr>
      <w:r>
        <w:rPr>
          <w:rFonts w:ascii="Arial" w:cs="Arial" w:eastAsia="Arial" w:hAnsi="Arial"/>
          <w:sz w:val="22"/>
          <w:szCs w:val="22"/>
        </w:rPr>
        <w:t xml:space="preserve">The second pattern is vocabulary drift: the model understands the pathology but uses the wrong label name. Predicting “Kidney cyst” instead of “Renal cyst”, or “Gallbladder mass” instead of “Gallstone”, scores zero under exact entity matching even though the underlying clinical interpretation is correct. Including the full vocabulary in the prompt reduced this somewhat, but did not eliminate it — the 4B model simply does not reliably adhere to a list of 84 items in a system prompt.</w:t>
      </w:r>
    </w:p>
    <w:p>
      <w:pPr>
        <w:spacing w:after="100" w:before="60"/>
      </w:pPr>
      <w:r>
        <w:rPr>
          <w:rFonts w:ascii="Arial" w:cs="Arial" w:eastAsia="Arial" w:hAnsi="Arial"/>
          <w:sz w:val="22"/>
          <w:szCs w:val="22"/>
        </w:rPr>
        <w:t xml:space="preserve">There are also cases of genuinely wrong predictions. One example: the gold label was “Liver cyst, Cholecystitis, Gastric cancer”, and the model predicted “Liver lesion, Fatty liver”. The finding is complex, describing abnormalities across multiple organs, and the model appears to fixate on the liver findings while missing both the gallbladder inflammation and the gastric mass entirely.</w:t>
      </w:r>
    </w:p>
    <w:p>
      <w:pPr>
        <w:pStyle w:val="Heading2"/>
        <w:spacing w:after="80" w:before="240"/>
      </w:pPr>
      <w:r>
        <w:rPr>
          <w:rFonts w:ascii="Arial" w:cs="Arial" w:eastAsia="Arial" w:hAnsi="Arial"/>
          <w:b/>
          <w:bCs/>
          <w:color w:val="2E5FA3"/>
          <w:sz w:val="24"/>
          <w:szCs w:val="24"/>
        </w:rPr>
        <w:t xml:space="preserve">7.2 Residual Errors After Fine-Tuning</w:t>
      </w:r>
    </w:p>
    <w:p>
      <w:pPr>
        <w:spacing w:after="100" w:before="60"/>
      </w:pPr>
      <w:r>
        <w:rPr>
          <w:rFonts w:ascii="Arial" w:cs="Arial" w:eastAsia="Arial" w:hAnsi="Arial"/>
          <w:sz w:val="22"/>
          <w:szCs w:val="22"/>
        </w:rPr>
        <w:t xml:space="preserve">After fine-tuning, the most persistent errors fall into a few categories. Near-synonym confusion remains a problem: the dataset has both “Polycystic kidney” and “Polycystic kidneys” as separate labels, and “Enteritis” alongside “Enteritis possible”. These pairs appear to reflect annotation inconsistency rather than genuine clinical distinctions, and the model understandably struggles to predict the right one consistently.</w:t>
      </w:r>
    </w:p>
    <w:p>
      <w:pPr>
        <w:spacing w:after="100" w:before="60"/>
      </w:pPr>
      <w:r>
        <w:rPr>
          <w:rFonts w:ascii="Arial" w:cs="Arial" w:eastAsia="Arial" w:hAnsi="Arial"/>
          <w:sz w:val="22"/>
          <w:szCs w:val="22"/>
        </w:rPr>
        <w:t xml:space="preserve">Rare labels are also problematic. Diseases appearing fewer than 10 times in training (such as Neuroblastoma or Retroperitoneal fibrosis) are essentially underfit — the model has seen too few examples to learn reliable patterns. Finally, for findings with four or more labels, the model occasionally gets three right and misses the last one, suggesting some difficulty maintaining attention across very long or complex reports.</w:t>
      </w:r>
    </w:p>
    <w:p>
      <w:pPr>
        <w:pStyle w:val="Heading2"/>
        <w:spacing w:after="80" w:before="240"/>
      </w:pPr>
      <w:r>
        <w:rPr>
          <w:rFonts w:ascii="Arial" w:cs="Arial" w:eastAsia="Arial" w:hAnsi="Arial"/>
          <w:b/>
          <w:bCs/>
          <w:color w:val="2E5FA3"/>
          <w:sz w:val="24"/>
          <w:szCs w:val="24"/>
        </w:rPr>
        <w:t xml:space="preserve">7.3 What Could Be Improved</w:t>
      </w:r>
    </w:p>
    <w:p>
      <w:pPr>
        <w:spacing w:after="100" w:before="60"/>
      </w:pPr>
      <w:r>
        <w:rPr>
          <w:rFonts w:ascii="Arial" w:cs="Arial" w:eastAsia="Arial" w:hAnsi="Arial"/>
          <w:sz w:val="22"/>
          <w:szCs w:val="22"/>
        </w:rPr>
        <w:t xml:space="preserve">The most straightforward improvement would be using Qwen3-8B instead of 4B. A larger model would likely handle both the rare label problem and complex multi-label cases better. On the data side, consolidating near-duplicate labels (merging “Polycystic kidney” and “Polycystic kidneys”, for example) would remove a source of ambiguity that no model can resolve without additional context. For the zero-shot setting specifically, constrained decoding — enforcing the vocabulary at the token level during generation rather than relying on instruction following — would eliminate vocabulary drift entirely.</w:t>
      </w:r>
    </w:p>
    <w:p>
      <w:pPr>
        <w:pStyle w:val="Heading1"/>
        <w:spacing w:after="120" w:before="320"/>
      </w:pPr>
      <w:r>
        <w:rPr>
          <w:rFonts w:ascii="Arial" w:cs="Arial" w:eastAsia="Arial" w:hAnsi="Arial"/>
          <w:b/>
          <w:bCs/>
          <w:sz w:val="28"/>
          <w:szCs w:val="28"/>
        </w:rPr>
        <w:t xml:space="preserve">8. Conclusion</w:t>
      </w:r>
    </w:p>
    <w:p>
      <w:pPr>
        <w:spacing w:after="100" w:before="60"/>
      </w:pPr>
      <w:r>
        <w:rPr>
          <w:rFonts w:ascii="Arial" w:cs="Arial" w:eastAsia="Arial" w:hAnsi="Arial"/>
          <w:sz w:val="22"/>
          <w:szCs w:val="22"/>
        </w:rPr>
        <w:t xml:space="preserve">This project shows a working end-to-end pipeline for radiology disease label extraction, from a zero-shot prompt baseline to a fine-tuned model uploaded to HuggingFace. The key takeaway is that prompt engineering alone has real limits for this kind of structured prediction task: even with the full label vocabulary and few-shot examples, a 4B model in zero-shot achieves F1 = 0.43. Adding task-specific supervision via QLoRA — trained in 31 minutes on a free GPU — brings this to F1 = 0.67, a 55% relative improvement.</w:t>
      </w:r>
    </w:p>
    <w:p>
      <w:pPr>
        <w:spacing w:after="100" w:before="60"/>
      </w:pPr>
      <w:r>
        <w:rPr>
          <w:rFonts w:ascii="Arial" w:cs="Arial" w:eastAsia="Arial" w:hAnsi="Arial"/>
          <w:sz w:val="22"/>
          <w:szCs w:val="22"/>
        </w:rPr>
        <w:t xml:space="preserve">The gap between 0.67 and what a human expert would achieve is still substantial, and a lot of that gap likely comes down to model scale, label annotation quality, and the inherent ambiguity in some findings. But the results suggest the approach is viable, and with better compute or a cleaner label set, further gains should be achievable.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2026-04-22T16:14:16.524Z</dcterms:created>
  <dcterms:modified xsi:type="dcterms:W3CDTF">2026-04-22T16:14:16.529Z</dcterms:modified>
</cp:coreProperties>
</file>

<file path=docProps/custom.xml><?xml version="1.0" encoding="utf-8"?>
<Properties xmlns="http://schemas.openxmlformats.org/officeDocument/2006/custom-properties" xmlns:vt="http://schemas.openxmlformats.org/officeDocument/2006/docPropsVTypes"/>
</file>