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2"/>
          <w:szCs w:val="32"/>
        </w:rPr>
        <w:t xml:space="preserve">Fine-tuning Large Language Models for Radiology Disease Diagnosis</w:t>
      </w:r>
    </w:p>
    <w:p>
      <w:pPr>
        <w:spacing w:after="40" w:before="0"/>
        <w:jc w:val="center"/>
      </w:pPr>
      <w:r>
        <w:rPr>
          <w:rFonts w:ascii="Times New Roman" w:cs="Times New Roman" w:eastAsia="Times New Roman" w:hAnsi="Times New Roman"/>
          <w:sz w:val="22"/>
          <w:szCs w:val="22"/>
        </w:rPr>
        <w:t xml:space="preserve">NLP Coding Test Submission</w:t>
      </w:r>
    </w:p>
    <w:p>
      <w:pPr>
        <w:pBdr>
          <w:bottom w:val="single" w:color="000000" w:sz="4" w:space="8"/>
        </w:pBdr>
        <w:spacing w:after="360" w:before="0"/>
        <w:jc w:val="center"/>
      </w:pPr>
      <w:r>
        <w:rPr>
          <w:rFonts w:ascii="Times New Roman" w:cs="Times New Roman" w:eastAsia="Times New Roman" w:hAnsi="Times New Roman"/>
          <w:sz w:val="18"/>
          <w:szCs w:val="18"/>
        </w:rPr>
        <w:t xml:space="preserve">maojia.wang@mail.utoronto.ca  |  github.com/Jimmuji/Finetune-LLM  |  huggingface.co/Jimmu1215</w:t>
      </w:r>
    </w:p>
    <w:p>
      <w:pPr>
        <w:spacing w:after="120" w:before="360"/>
      </w:pPr>
      <w:r>
        <w:rPr>
          <w:rFonts w:ascii="Times New Roman" w:cs="Times New Roman" w:eastAsia="Times New Roman" w:hAnsi="Times New Roman"/>
          <w:b/>
          <w:bCs/>
          <w:sz w:val="26"/>
          <w:szCs w:val="26"/>
        </w:rPr>
        <w:t xml:space="preserve">1. Introduction</w:t>
      </w:r>
    </w:p>
    <w:p>
      <w:pPr>
        <w:spacing w:after="140" w:before="0"/>
      </w:pPr>
      <w:r>
        <w:rPr>
          <w:rFonts w:ascii="Times New Roman" w:cs="Times New Roman" w:eastAsia="Times New Roman" w:hAnsi="Times New Roman"/>
          <w:sz w:val="22"/>
          <w:szCs w:val="22"/>
        </w:rPr>
        <w:t xml:space="preserve">Radiology reports contain dense clinical information, but extracting structured diagnoses from free text is slow when done by hand. This project asks whether a language model can do it reliably: given a CT or MRI finding in plain English, output the correct disease labels from a predefined vocabulary of 84 categories.</w:t>
      </w:r>
    </w:p>
    <w:p>
      <w:pPr>
        <w:spacing w:after="140" w:before="0"/>
      </w:pPr>
      <w:r>
        <w:rPr>
          <w:rFonts w:ascii="Times New Roman" w:cs="Times New Roman" w:eastAsia="Times New Roman" w:hAnsi="Times New Roman"/>
          <w:sz w:val="22"/>
          <w:szCs w:val="22"/>
        </w:rPr>
        <w:t xml:space="preserve">I approached this in two steps. First, I tested Qwen3-4B out of the box using a carefully designed prompt, to see how far zero-shot inference could get (Task 1). Then I fine-tuned the same model on 1,000 labeled examples using QLoRA to measure how much task-specific training helps (Task 2). Both tasks were evaluated on the same held-out 236 test samples.</w:t>
      </w:r>
    </w:p>
    <w:p>
      <w:pPr>
        <w:spacing w:after="120" w:before="360"/>
      </w:pPr>
      <w:r>
        <w:rPr>
          <w:rFonts w:ascii="Times New Roman" w:cs="Times New Roman" w:eastAsia="Times New Roman" w:hAnsi="Times New Roman"/>
          <w:b/>
          <w:bCs/>
          <w:sz w:val="26"/>
          <w:szCs w:val="26"/>
        </w:rPr>
        <w:t xml:space="preserve">2. Dataset</w:t>
      </w:r>
    </w:p>
    <w:p>
      <w:pPr>
        <w:spacing w:after="140" w:before="0"/>
      </w:pPr>
      <w:r>
        <w:rPr>
          <w:rFonts w:ascii="Times New Roman" w:cs="Times New Roman" w:eastAsia="Times New Roman" w:hAnsi="Times New Roman"/>
          <w:sz w:val="22"/>
          <w:szCs w:val="22"/>
        </w:rPr>
        <w:t xml:space="preserve">The dataset contains 1,236 radiology CT/MRI findings, each paired with one or more disease labels drawn from a fixed vocabulary. I split these 80/20 into 1,000 training and 236 test samples, using a fixed random seed (42) so the split is identical across both tasks.</w:t>
      </w:r>
    </w:p>
    <w:p>
      <w:pPr>
        <w:spacing w:after="140" w:before="0"/>
      </w:pPr>
      <w:r>
        <w:rPr>
          <w:rFonts w:ascii="Times New Roman" w:cs="Times New Roman" w:eastAsia="Times New Roman" w:hAnsi="Times New Roman"/>
          <w:sz w:val="22"/>
          <w:szCs w:val="22"/>
        </w:rPr>
        <w:t xml:space="preserve">The first thing I did before any modeling was enumerate all unique disease strings that appear in the output_disease column across the full dataset. This yielded 84 distinct labels. No separate vocabulary file was provided; these 84 strings are exactly what the annotators used, so they define the complete label space for this task. I used this list in two ways: as the target vocabulary for prompt-based inference in Task 1, and as the basis for understanding what the model needs to learn in Task 2.</w:t>
      </w:r>
    </w:p>
    <w:p>
      <w:pPr>
        <w:spacing w:after="140" w:before="0"/>
      </w:pPr>
      <w:r>
        <w:rPr>
          <w:rFonts w:ascii="Times New Roman" w:cs="Times New Roman" w:eastAsia="Times New Roman" w:hAnsi="Times New Roman"/>
          <w:sz w:val="22"/>
          <w:szCs w:val="22"/>
        </w:rPr>
        <w:t xml:space="preserve">A few things stood out when I first looked at the data. The label distribution is heavily skewed: the four most common labels (Renal cyst, Liver cyst, Kidney stone, Liver lesion) cover a large share of all annotations, while roughly a dozen labels appear fewer than 10 times in total. There are also a few near-duplicate label pairs in the vocabulary — "Polycystic kidney" and "Polycystic kidneys", or "Enteritis" and "Enteritis possible" — which appear to reflect annotator inconsistency rather than genuinely distinct diagnoses. These turn out to matter for evaluation.</w:t>
      </w:r>
    </w:p>
    <w:p>
      <w:pPr>
        <w:spacing w:after="120" w:before="360"/>
      </w:pPr>
      <w:r>
        <w:rPr>
          <w:rFonts w:ascii="Times New Roman" w:cs="Times New Roman" w:eastAsia="Times New Roman" w:hAnsi="Times New Roman"/>
          <w:b/>
          <w:bCs/>
          <w:sz w:val="26"/>
          <w:szCs w:val="26"/>
        </w:rPr>
        <w:t xml:space="preserve">3. Evaluation Metric</w:t>
      </w:r>
    </w:p>
    <w:p>
      <w:pPr>
        <w:spacing w:after="140" w:before="0"/>
      </w:pPr>
      <w:r>
        <w:rPr>
          <w:rFonts w:ascii="Times New Roman" w:cs="Times New Roman" w:eastAsia="Times New Roman" w:hAnsi="Times New Roman"/>
          <w:sz w:val="22"/>
          <w:szCs w:val="22"/>
        </w:rPr>
        <w:t xml:space="preserve">The output is an unordered set of labels, so standard sequence metrics like BLEU do not apply cleanly — they would treat "Renal cyst, Liver cyst" and "Liver cyst, Renal cyst" as different predictions, which makes no sense here. Plain accuracy is too strict: a prediction that gets two out of three labels right should not score zero.</w:t>
      </w:r>
    </w:p>
    <w:p>
      <w:pPr>
        <w:spacing w:after="140" w:before="0"/>
      </w:pPr>
      <w:r>
        <w:rPr>
          <w:rFonts w:ascii="Times New Roman" w:cs="Times New Roman" w:eastAsia="Times New Roman" w:hAnsi="Times New Roman"/>
          <w:sz w:val="22"/>
          <w:szCs w:val="22"/>
        </w:rPr>
        <w:t xml:space="preserve">I used entity-level macro F1 as the primary metric. Each comma-separated disease name is one entity, normalized to lowercase before comparison. For each test sample:</w:t>
      </w:r>
    </w:p>
    <w:p>
      <w:pPr>
        <w:pStyle w:val="ListParagraph"/>
        <w:numPr>
          <w:ilvl w:val="0"/>
          <w:numId w:val="2"/>
        </w:numPr>
        <w:spacing w:after="20" w:before="20"/>
      </w:pPr>
      <w:r>
        <w:rPr>
          <w:rFonts w:ascii="Times New Roman" w:cs="Times New Roman" w:eastAsia="Times New Roman" w:hAnsi="Times New Roman"/>
          <w:sz w:val="22"/>
          <w:szCs w:val="22"/>
        </w:rPr>
        <w:t xml:space="preserve">Precision = correctly predicted labels / all predicted labels</w:t>
      </w:r>
    </w:p>
    <w:p>
      <w:pPr>
        <w:pStyle w:val="ListParagraph"/>
        <w:numPr>
          <w:ilvl w:val="0"/>
          <w:numId w:val="2"/>
        </w:numPr>
        <w:spacing w:after="20" w:before="20"/>
      </w:pPr>
      <w:r>
        <w:rPr>
          <w:rFonts w:ascii="Times New Roman" w:cs="Times New Roman" w:eastAsia="Times New Roman" w:hAnsi="Times New Roman"/>
          <w:sz w:val="22"/>
          <w:szCs w:val="22"/>
        </w:rPr>
        <w:t xml:space="preserve">Recall = correctly predicted labels / all gold labels</w:t>
      </w:r>
    </w:p>
    <w:p>
      <w:pPr>
        <w:pStyle w:val="ListParagraph"/>
        <w:numPr>
          <w:ilvl w:val="0"/>
          <w:numId w:val="2"/>
        </w:numPr>
        <w:spacing w:after="20" w:before="20"/>
      </w:pPr>
      <w:r>
        <w:rPr>
          <w:rFonts w:ascii="Times New Roman" w:cs="Times New Roman" w:eastAsia="Times New Roman" w:hAnsi="Times New Roman"/>
          <w:sz w:val="22"/>
          <w:szCs w:val="22"/>
        </w:rPr>
        <w:t xml:space="preserve">F1 = harmonic mean of precision and recall</w:t>
      </w:r>
    </w:p>
    <w:p>
      <w:pPr>
        <w:spacing w:after="80" w:before="80"/>
      </w:pPr>
      <w:r>
        <w:t xml:space="preserve"/>
      </w:r>
    </w:p>
    <w:p>
      <w:pPr>
        <w:spacing w:after="140" w:before="0"/>
      </w:pPr>
      <w:r>
        <w:rPr>
          <w:rFonts w:ascii="Times New Roman" w:cs="Times New Roman" w:eastAsia="Times New Roman" w:hAnsi="Times New Roman"/>
          <w:sz w:val="22"/>
          <w:szCs w:val="22"/>
        </w:rPr>
        <w:t xml:space="preserve">These three numbers are then averaged across all 236 test samples. I also report Jaccard similarity (intersection over union of the two label sets) and Exact Match rate as secondary metrics. The Exact Match score — 0.09 in the zero-shot setting — is a useful reminder of just how strict perfect prediction is when labels are this granular.</w:t>
      </w:r>
    </w:p>
    <w:p>
      <w:pPr>
        <w:spacing w:after="120" w:before="360"/>
      </w:pPr>
      <w:r>
        <w:rPr>
          <w:rFonts w:ascii="Times New Roman" w:cs="Times New Roman" w:eastAsia="Times New Roman" w:hAnsi="Times New Roman"/>
          <w:b/>
          <w:bCs/>
          <w:sz w:val="26"/>
          <w:szCs w:val="26"/>
        </w:rPr>
        <w:t xml:space="preserve">4. Task 1 — Zero-Shot Baseline</w:t>
      </w:r>
    </w:p>
    <w:p>
      <w:pPr>
        <w:spacing w:after="80" w:before="200"/>
      </w:pPr>
      <w:r>
        <w:rPr>
          <w:rFonts w:ascii="Times New Roman" w:cs="Times New Roman" w:eastAsia="Times New Roman" w:hAnsi="Times New Roman"/>
          <w:b/>
          <w:bCs/>
          <w:sz w:val="22"/>
          <w:szCs w:val="22"/>
        </w:rPr>
        <w:t xml:space="preserve">4.1 Prompt Design</w:t>
      </w:r>
    </w:p>
    <w:p>
      <w:pPr>
        <w:spacing w:after="140" w:before="0"/>
      </w:pPr>
      <w:r>
        <w:rPr>
          <w:rFonts w:ascii="Times New Roman" w:cs="Times New Roman" w:eastAsia="Times New Roman" w:hAnsi="Times New Roman"/>
          <w:sz w:val="22"/>
          <w:szCs w:val="22"/>
        </w:rPr>
        <w:t xml:space="preserve">Because this is a closed-set extraction task — the model must output labels from a fixed vocabulary, not generate free text — the most direct failure mode is label name mismatch: the model correctly identifies that a patient has a kidney cyst, but writes "kidney cyst" or "renal lesion" instead of the exact string "Renal cyst" that the gold standard expects. The natural response is to put the full vocabulary in front of the model at inference time, so it knows exactly which strings are valid outputs. I extracted the 84 unique label strings from the dataset (as described in Section 2) and included the complete list in the system prompt.</w:t>
      </w:r>
    </w:p>
    <w:p>
      <w:pPr>
        <w:spacing w:after="140" w:before="0"/>
      </w:pPr>
      <w:r>
        <w:rPr>
          <w:rFonts w:ascii="Times New Roman" w:cs="Times New Roman" w:eastAsia="Times New Roman" w:hAnsi="Times New Roman"/>
          <w:sz w:val="22"/>
          <w:szCs w:val="22"/>
        </w:rPr>
        <w:t xml:space="preserve">Alongside the vocabulary, I added three few-shot examples taken directly from the training set, covering a simple one-label case, a two-label case, and a three-label case. The intent was to make the output format unambiguous: comma-separated label names, nothing else, no explanations.</w:t>
      </w:r>
    </w:p>
    <w:p>
      <w:pPr>
        <w:spacing w:after="140" w:before="0"/>
      </w:pPr>
      <w:r>
        <w:rPr>
          <w:rFonts w:ascii="Times New Roman" w:cs="Times New Roman" w:eastAsia="Times New Roman" w:hAnsi="Times New Roman"/>
          <w:sz w:val="22"/>
          <w:szCs w:val="22"/>
        </w:rPr>
        <w:t xml:space="preserve">I also disabled Qwen3's thinking mode (enable_thinking=False). Qwen3 can generate a lengthy chain-of-thought trace before answering, which is useful for complex reasoning tasks but unnecessary here — the model just needs to match findings to labels, not work through clinical logic step by step. Disabling it made inference faster and more consistent.</w:t>
      </w:r>
    </w:p>
    <w:p>
      <w:pPr>
        <w:spacing w:after="80" w:before="200"/>
      </w:pPr>
      <w:r>
        <w:rPr>
          <w:rFonts w:ascii="Times New Roman" w:cs="Times New Roman" w:eastAsia="Times New Roman" w:hAnsi="Times New Roman"/>
          <w:b/>
          <w:bCs/>
          <w:sz w:val="22"/>
          <w:szCs w:val="22"/>
        </w:rPr>
        <w:t xml:space="preserve">4.2 Results</w:t>
      </w:r>
    </w:p>
    <w:p>
      <w:pPr>
        <w:spacing w:after="140" w:before="0"/>
      </w:pPr>
      <w:r>
        <w:rPr>
          <w:rFonts w:ascii="Times New Roman" w:cs="Times New Roman" w:eastAsia="Times New Roman" w:hAnsi="Times New Roman"/>
          <w:sz w:val="22"/>
          <w:szCs w:val="22"/>
        </w:rPr>
        <w:t xml:space="preserve">Running Qwen3-4B (4-bit NF4 quantization) across the 236 test samples produced the following:</w:t>
      </w:r>
    </w:p>
    <w:p>
      <w:pPr>
        <w:pStyle w:val="ListParagraph"/>
        <w:numPr>
          <w:ilvl w:val="0"/>
          <w:numId w:val="2"/>
        </w:numPr>
        <w:spacing w:after="20" w:before="20"/>
      </w:pPr>
      <w:r>
        <w:rPr>
          <w:rFonts w:ascii="Times New Roman" w:cs="Times New Roman" w:eastAsia="Times New Roman" w:hAnsi="Times New Roman"/>
          <w:sz w:val="22"/>
          <w:szCs w:val="22"/>
        </w:rPr>
        <w:t xml:space="preserve">Precision: 0.4202  |  Recall: 0.4931  |  F1: 0.4340</w:t>
      </w:r>
    </w:p>
    <w:p>
      <w:pPr>
        <w:pStyle w:val="ListParagraph"/>
        <w:numPr>
          <w:ilvl w:val="0"/>
          <w:numId w:val="2"/>
        </w:numPr>
        <w:spacing w:after="20" w:before="20"/>
      </w:pPr>
      <w:r>
        <w:rPr>
          <w:rFonts w:ascii="Times New Roman" w:cs="Times New Roman" w:eastAsia="Times New Roman" w:hAnsi="Times New Roman"/>
          <w:sz w:val="22"/>
          <w:szCs w:val="22"/>
        </w:rPr>
        <w:t xml:space="preserve">Jaccard: 0.3356  |  Exact Match: 0.0932</w:t>
      </w:r>
    </w:p>
    <w:p>
      <w:pPr>
        <w:spacing w:after="80" w:before="80"/>
      </w:pPr>
      <w:r>
        <w:t xml:space="preserve"/>
      </w:r>
    </w:p>
    <w:p>
      <w:pPr>
        <w:spacing w:after="140" w:before="0"/>
      </w:pPr>
      <w:r>
        <w:rPr>
          <w:rFonts w:ascii="Times New Roman" w:cs="Times New Roman" w:eastAsia="Times New Roman" w:hAnsi="Times New Roman"/>
          <w:sz w:val="22"/>
          <w:szCs w:val="22"/>
        </w:rPr>
        <w:t xml:space="preserve">The vocabulary constraint helped less than I expected. Looking at the actual outputs, the model was still generating labels outside the approved list in many cases — writing "Kidney cyst" instead of "Renal cyst", or "Gallbladder mass" instead of "Gallstone", despite being shown the full vocabulary. A 4B-scale model apparently cannot reliably follow a 84-item constraint list under zero-shot conditions. The other major failure was excessive caution: the model defaulted to "No acute abnormality" for a number of findings where pathology was present but described with hedged language.</w:t>
      </w:r>
    </w:p>
    <w:p>
      <w:pPr>
        <w:spacing w:after="120" w:before="360"/>
      </w:pPr>
      <w:r>
        <w:rPr>
          <w:rFonts w:ascii="Times New Roman" w:cs="Times New Roman" w:eastAsia="Times New Roman" w:hAnsi="Times New Roman"/>
          <w:b/>
          <w:bCs/>
          <w:sz w:val="26"/>
          <w:szCs w:val="26"/>
        </w:rPr>
        <w:t xml:space="preserve">5. Task 2 — Fine-Tuning with QLoRA</w:t>
      </w:r>
    </w:p>
    <w:p>
      <w:pPr>
        <w:spacing w:after="80" w:before="200"/>
      </w:pPr>
      <w:r>
        <w:rPr>
          <w:rFonts w:ascii="Times New Roman" w:cs="Times New Roman" w:eastAsia="Times New Roman" w:hAnsi="Times New Roman"/>
          <w:b/>
          <w:bCs/>
          <w:sz w:val="22"/>
          <w:szCs w:val="22"/>
        </w:rPr>
        <w:t xml:space="preserve">5.1 Motivation</w:t>
      </w:r>
    </w:p>
    <w:p>
      <w:pPr>
        <w:spacing w:after="140" w:before="0"/>
      </w:pPr>
      <w:r>
        <w:rPr>
          <w:rFonts w:ascii="Times New Roman" w:cs="Times New Roman" w:eastAsia="Times New Roman" w:hAnsi="Times New Roman"/>
          <w:sz w:val="22"/>
          <w:szCs w:val="22"/>
        </w:rPr>
        <w:t xml:space="preserve">The zero-shot results made the case for fine-tuning straightforward. The model was making two kinds of mistakes that supervised training should fix directly: using the wrong label names, and being too conservative. Both problems come down to the model not knowing this task's specific conventions. Seeing 1,000 labeled examples should teach it both.</w:t>
      </w:r>
    </w:p>
    <w:p>
      <w:pPr>
        <w:spacing w:after="80" w:before="200"/>
      </w:pPr>
      <w:r>
        <w:rPr>
          <w:rFonts w:ascii="Times New Roman" w:cs="Times New Roman" w:eastAsia="Times New Roman" w:hAnsi="Times New Roman"/>
          <w:b/>
          <w:bCs/>
          <w:sz w:val="22"/>
          <w:szCs w:val="22"/>
        </w:rPr>
        <w:t xml:space="preserve">5.2 Method</w:t>
      </w:r>
    </w:p>
    <w:p>
      <w:pPr>
        <w:spacing w:after="140" w:before="0"/>
      </w:pPr>
      <w:r>
        <w:rPr>
          <w:rFonts w:ascii="Times New Roman" w:cs="Times New Roman" w:eastAsia="Times New Roman" w:hAnsi="Times New Roman"/>
          <w:sz w:val="22"/>
          <w:szCs w:val="22"/>
        </w:rPr>
        <w:t xml:space="preserve">Full fine-tuning of a 4B model would require roughly 80 GB of GPU memory, which is out of reach on Colab's free T4 (15 GB). QLoRA makes it feasible by loading the base model in 4-bit quantization (~4 GB) and training only a small set of low-rank adapter matrices inserted alongside the frozen base weights. In this experiment, that meant training about 33 million parameters out of 4 billion — 0.81% of the total — with peak memory usage around 10 GB.</w:t>
      </w:r>
    </w:p>
    <w:p>
      <w:pPr>
        <w:spacing w:after="140" w:before="0"/>
      </w:pPr>
      <w:r>
        <w:rPr>
          <w:rFonts w:ascii="Times New Roman" w:cs="Times New Roman" w:eastAsia="Times New Roman" w:hAnsi="Times New Roman"/>
          <w:sz w:val="22"/>
          <w:szCs w:val="22"/>
        </w:rPr>
        <w:t xml:space="preserve">I used Unsloth as the training framework rather than vanilla PEFT, mainly because it handles gradient offloading more efficiently and is noticeably faster on T4 hardware. Each training sample was formatted as a three-turn conversation: a system prompt with task instructions, a user message containing the radiology finding, and an assistant message containing the gold disease labels. Only the assistant turn contributed to the loss.</w:t>
      </w:r>
    </w:p>
    <w:p>
      <w:pPr>
        <w:spacing w:after="80" w:before="200"/>
      </w:pPr>
      <w:r>
        <w:rPr>
          <w:rFonts w:ascii="Times New Roman" w:cs="Times New Roman" w:eastAsia="Times New Roman" w:hAnsi="Times New Roman"/>
          <w:b/>
          <w:bCs/>
          <w:sz w:val="22"/>
          <w:szCs w:val="22"/>
        </w:rPr>
        <w:t xml:space="preserve">5.3 Configuration</w:t>
      </w:r>
    </w:p>
    <w:p>
      <w:pPr>
        <w:pStyle w:val="ListParagraph"/>
        <w:numPr>
          <w:ilvl w:val="0"/>
          <w:numId w:val="2"/>
        </w:numPr>
        <w:spacing w:after="20" w:before="20"/>
      </w:pPr>
      <w:r>
        <w:rPr>
          <w:rFonts w:ascii="Times New Roman" w:cs="Times New Roman" w:eastAsia="Times New Roman" w:hAnsi="Times New Roman"/>
          <w:sz w:val="22"/>
          <w:szCs w:val="22"/>
        </w:rPr>
        <w:t xml:space="preserve">Base model: unsloth/Qwen3-4B-bnb-4bit</w:t>
      </w:r>
    </w:p>
    <w:p>
      <w:pPr>
        <w:pStyle w:val="ListParagraph"/>
        <w:numPr>
          <w:ilvl w:val="0"/>
          <w:numId w:val="2"/>
        </w:numPr>
        <w:spacing w:after="20" w:before="20"/>
      </w:pPr>
      <w:r>
        <w:rPr>
          <w:rFonts w:ascii="Times New Roman" w:cs="Times New Roman" w:eastAsia="Times New Roman" w:hAnsi="Times New Roman"/>
          <w:sz w:val="22"/>
          <w:szCs w:val="22"/>
        </w:rPr>
        <w:t xml:space="preserve">LoRA rank 16, alpha 16, dropout 0.05</w:t>
      </w:r>
    </w:p>
    <w:p>
      <w:pPr>
        <w:pStyle w:val="ListParagraph"/>
        <w:numPr>
          <w:ilvl w:val="0"/>
          <w:numId w:val="2"/>
        </w:numPr>
        <w:spacing w:after="20" w:before="20"/>
      </w:pPr>
      <w:r>
        <w:rPr>
          <w:rFonts w:ascii="Times New Roman" w:cs="Times New Roman" w:eastAsia="Times New Roman" w:hAnsi="Times New Roman"/>
          <w:sz w:val="22"/>
          <w:szCs w:val="22"/>
        </w:rPr>
        <w:t xml:space="preserve">Target modules: all attention and MLP projection layers</w:t>
      </w:r>
    </w:p>
    <w:p>
      <w:pPr>
        <w:pStyle w:val="ListParagraph"/>
        <w:numPr>
          <w:ilvl w:val="0"/>
          <w:numId w:val="2"/>
        </w:numPr>
        <w:spacing w:after="20" w:before="20"/>
      </w:pPr>
      <w:r>
        <w:rPr>
          <w:rFonts w:ascii="Times New Roman" w:cs="Times New Roman" w:eastAsia="Times New Roman" w:hAnsi="Times New Roman"/>
          <w:sz w:val="22"/>
          <w:szCs w:val="22"/>
        </w:rPr>
        <w:t xml:space="preserve">Optimizer: paged_adamw_8bit, learning rate 2e-4, cosine decay</w:t>
      </w:r>
    </w:p>
    <w:p>
      <w:pPr>
        <w:pStyle w:val="ListParagraph"/>
        <w:numPr>
          <w:ilvl w:val="0"/>
          <w:numId w:val="2"/>
        </w:numPr>
        <w:spacing w:after="20" w:before="20"/>
      </w:pPr>
      <w:r>
        <w:rPr>
          <w:rFonts w:ascii="Times New Roman" w:cs="Times New Roman" w:eastAsia="Times New Roman" w:hAnsi="Times New Roman"/>
          <w:sz w:val="22"/>
          <w:szCs w:val="22"/>
        </w:rPr>
        <w:t xml:space="preserve">Effective batch size: 16 (per-device 2, gradient accumulation 8)</w:t>
      </w:r>
    </w:p>
    <w:p>
      <w:pPr>
        <w:pStyle w:val="ListParagraph"/>
        <w:numPr>
          <w:ilvl w:val="0"/>
          <w:numId w:val="2"/>
        </w:numPr>
        <w:spacing w:after="20" w:before="20"/>
      </w:pPr>
      <w:r>
        <w:rPr>
          <w:rFonts w:ascii="Times New Roman" w:cs="Times New Roman" w:eastAsia="Times New Roman" w:hAnsi="Times New Roman"/>
          <w:sz w:val="22"/>
          <w:szCs w:val="22"/>
        </w:rPr>
        <w:t xml:space="preserve">3 epochs, 189 steps, max sequence length 1,024 tokens</w:t>
      </w:r>
    </w:p>
    <w:p>
      <w:pPr>
        <w:pStyle w:val="ListParagraph"/>
        <w:numPr>
          <w:ilvl w:val="0"/>
          <w:numId w:val="2"/>
        </w:numPr>
        <w:spacing w:after="20" w:before="20"/>
      </w:pPr>
      <w:r>
        <w:rPr>
          <w:rFonts w:ascii="Times New Roman" w:cs="Times New Roman" w:eastAsia="Times New Roman" w:hAnsi="Times New Roman"/>
          <w:sz w:val="22"/>
          <w:szCs w:val="22"/>
        </w:rPr>
        <w:t xml:space="preserve">Hardware: NVIDIA T4 (15 GB)  |  Total training time: 30.8 minutes</w:t>
      </w:r>
    </w:p>
    <w:p>
      <w:pPr>
        <w:spacing w:after="80" w:before="200"/>
      </w:pPr>
      <w:r>
        <w:rPr>
          <w:rFonts w:ascii="Times New Roman" w:cs="Times New Roman" w:eastAsia="Times New Roman" w:hAnsi="Times New Roman"/>
          <w:b/>
          <w:bCs/>
          <w:sz w:val="22"/>
          <w:szCs w:val="22"/>
        </w:rPr>
        <w:t xml:space="preserve">5.4 Training Dynamics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Step</w:t>
            </w:r>
          </w:p>
        </w:tc>
        <w:tc>
          <w:tcPr>
            <w:tcW w:type="dxa" w:w="234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Training Loss</w:t>
            </w:r>
          </w:p>
        </w:tc>
        <w:tc>
          <w:tcPr>
            <w:tcW w:type="dxa" w:w="234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Validation Loss</w:t>
            </w:r>
          </w:p>
        </w:tc>
        <w:tc>
          <w:tcPr>
            <w:tcW w:type="dxa" w:w="234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Note</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100</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0.7891</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0.8140</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Mid-training</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189 (final)</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0.7248</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0.7836</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Converged</w:t>
            </w:r>
          </w:p>
        </w:tc>
      </w:tr>
    </w:tbl>
    <w:p>
      <w:pPr>
        <w:spacing w:after="80" w:before="80"/>
      </w:pPr>
      <w:r>
        <w:t xml:space="preserve"/>
      </w:r>
    </w:p>
    <w:p>
      <w:pPr>
        <w:spacing w:after="140" w:before="0"/>
      </w:pPr>
      <w:r>
        <w:rPr>
          <w:rFonts w:ascii="Times New Roman" w:cs="Times New Roman" w:eastAsia="Times New Roman" w:hAnsi="Times New Roman"/>
          <w:sz w:val="22"/>
          <w:szCs w:val="22"/>
        </w:rPr>
        <w:t xml:space="preserve">The loss curve looked healthy. Both training and validation loss dropped steadily across the 189 steps, with a stable gap of about 0.06 between them — small enough that overfitting is not a concern. Given that we're only training 0.81% of the model's parameters, this is not surprising.</w:t>
      </w:r>
    </w:p>
    <w:p>
      <w:pPr>
        <w:spacing w:after="80" w:before="200"/>
      </w:pPr>
      <w:r>
        <w:rPr>
          <w:rFonts w:ascii="Times New Roman" w:cs="Times New Roman" w:eastAsia="Times New Roman" w:hAnsi="Times New Roman"/>
          <w:b/>
          <w:bCs/>
          <w:sz w:val="22"/>
          <w:szCs w:val="22"/>
        </w:rPr>
        <w:t xml:space="preserve">5.5 Model</w:t>
      </w:r>
    </w:p>
    <w:p>
      <w:pPr>
        <w:spacing w:after="140" w:before="0"/>
      </w:pPr>
      <w:r>
        <w:rPr>
          <w:rFonts w:ascii="Times New Roman" w:cs="Times New Roman" w:eastAsia="Times New Roman" w:hAnsi="Times New Roman"/>
          <w:sz w:val="22"/>
          <w:szCs w:val="22"/>
        </w:rPr>
        <w:t xml:space="preserve">The trained LoRA adapter is available at: huggingface.co/Jimmu1215/Qwen3-4B-disease-diagnosis</w:t>
      </w:r>
    </w:p>
    <w:p>
      <w:pPr>
        <w:spacing w:after="120" w:before="360"/>
      </w:pPr>
      <w:r>
        <w:rPr>
          <w:rFonts w:ascii="Times New Roman" w:cs="Times New Roman" w:eastAsia="Times New Roman" w:hAnsi="Times New Roman"/>
          <w:b/>
          <w:bCs/>
          <w:sz w:val="26"/>
          <w:szCs w:val="26"/>
        </w:rPr>
        <w:t xml:space="preserve">6.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100"/>
        <w:gridCol w:w="1000"/>
        <w:gridCol w:w="880"/>
        <w:gridCol w:w="1080"/>
        <w:gridCol w:w="1500"/>
      </w:tblGrid>
      <w:tr>
        <w:tc>
          <w:tcPr>
            <w:tcW w:type="dxa" w:w="160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w:t>
            </w:r>
          </w:p>
        </w:tc>
        <w:tc>
          <w:tcPr>
            <w:tcW w:type="dxa" w:w="220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Setting</w:t>
            </w:r>
          </w:p>
        </w:tc>
        <w:tc>
          <w:tcPr>
            <w:tcW w:type="dxa" w:w="110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Precision</w:t>
            </w:r>
          </w:p>
        </w:tc>
        <w:tc>
          <w:tcPr>
            <w:tcW w:type="dxa" w:w="100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Recall</w:t>
            </w:r>
          </w:p>
        </w:tc>
        <w:tc>
          <w:tcPr>
            <w:tcW w:type="dxa" w:w="88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w:t>
            </w:r>
          </w:p>
        </w:tc>
        <w:tc>
          <w:tcPr>
            <w:tcW w:type="dxa" w:w="108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Jaccard</w:t>
            </w:r>
          </w:p>
        </w:tc>
        <w:tc>
          <w:tcPr>
            <w:tcW w:type="dxa" w:w="1500"/>
            <w:tcBorders>
              <w:top w:val="single" w:color="999999" w:sz="1"/>
              <w:left w:val="single" w:color="999999" w:sz="1"/>
              <w:bottom w:val="single" w:color="999999" w:sz="1"/>
              <w:right w:val="single" w:color="999999" w:sz="1"/>
            </w:tcBorders>
            <w:shd w:fill="EEEEEE"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Exact Match</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Qwen3-4B</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Zero-shot</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0.4202</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0.4931</w:t>
            </w:r>
          </w:p>
        </w:tc>
        <w:tc>
          <w:tcPr>
            <w:tcW w:type="dxa" w:w="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0.4340</w:t>
            </w:r>
          </w:p>
        </w:tc>
        <w:tc>
          <w:tcPr>
            <w:tcW w:type="dxa" w:w="10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0.3356</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0.0932</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Qwen3-4B</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Fine-tuned (QLoRA)</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t>
            </w:r>
          </w:p>
        </w:tc>
        <w:tc>
          <w:tcPr>
            <w:tcW w:type="dxa" w:w="8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0.6734</w:t>
            </w:r>
          </w:p>
        </w:tc>
        <w:tc>
          <w:tcPr>
            <w:tcW w:type="dxa" w:w="10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t>
            </w:r>
          </w:p>
        </w:tc>
      </w:tr>
    </w:tbl>
    <w:p>
      <w:pPr>
        <w:spacing w:after="80" w:before="80"/>
      </w:pPr>
      <w:r>
        <w:t xml:space="preserve"/>
      </w:r>
    </w:p>
    <w:p>
      <w:pPr>
        <w:spacing w:after="140" w:before="0"/>
      </w:pPr>
      <w:r>
        <w:rPr>
          <w:rFonts w:ascii="Times New Roman" w:cs="Times New Roman" w:eastAsia="Times New Roman" w:hAnsi="Times New Roman"/>
          <w:sz w:val="22"/>
          <w:szCs w:val="22"/>
        </w:rPr>
        <w:t xml:space="preserve">Fine-tuning brings F1 from 0.43 to 0.67, a gain of 0.24 absolute points, or about 55% relative improvement. This is a meaningful jump for a model trained on 1,000 examples in 31 minutes on free hardware. The result confirms what the failure analysis suggested: the zero-shot gap was mostly a supervision gap, not a model capacity gap. The model already understood the underlying clinical concepts; it just did not know how to map them to this dataset's specific label conventions until it saw enough examples.</w:t>
      </w:r>
    </w:p>
    <w:p>
      <w:pPr>
        <w:spacing w:after="120" w:before="360"/>
      </w:pPr>
      <w:r>
        <w:rPr>
          <w:rFonts w:ascii="Times New Roman" w:cs="Times New Roman" w:eastAsia="Times New Roman" w:hAnsi="Times New Roman"/>
          <w:b/>
          <w:bCs/>
          <w:sz w:val="26"/>
          <w:szCs w:val="26"/>
        </w:rPr>
        <w:t xml:space="preserve">7. Failure Case Analysis</w:t>
      </w:r>
    </w:p>
    <w:p>
      <w:pPr>
        <w:spacing w:after="80" w:before="200"/>
      </w:pPr>
      <w:r>
        <w:rPr>
          <w:rFonts w:ascii="Times New Roman" w:cs="Times New Roman" w:eastAsia="Times New Roman" w:hAnsi="Times New Roman"/>
          <w:b/>
          <w:bCs/>
          <w:sz w:val="22"/>
          <w:szCs w:val="22"/>
        </w:rPr>
        <w:t xml:space="preserve">7.1 Zero-Shot Errors</w:t>
      </w:r>
    </w:p>
    <w:p>
      <w:pPr>
        <w:spacing w:after="140" w:before="0"/>
      </w:pPr>
      <w:r>
        <w:rPr>
          <w:rFonts w:ascii="Times New Roman" w:cs="Times New Roman" w:eastAsia="Times New Roman" w:hAnsi="Times New Roman"/>
          <w:sz w:val="22"/>
          <w:szCs w:val="22"/>
        </w:rPr>
        <w:t xml:space="preserve">Looking at the worst zero-shot predictions, two patterns dominate. The first is over-caution: the model outputs "No acute abnormality" for findings that clearly describe pathology. A typical example is a finding that mentions mild fatty infiltration of the liver, which gets predicted as negative. This is consistent with a general-purpose model being risk-averse — it treats hedged or mild language as insufficient grounds for a definitive label.</w:t>
      </w:r>
    </w:p>
    <w:p>
      <w:pPr>
        <w:spacing w:after="140" w:before="0"/>
      </w:pPr>
      <w:r>
        <w:rPr>
          <w:rFonts w:ascii="Times New Roman" w:cs="Times New Roman" w:eastAsia="Times New Roman" w:hAnsi="Times New Roman"/>
          <w:sz w:val="22"/>
          <w:szCs w:val="22"/>
        </w:rPr>
        <w:t xml:space="preserve">The second pattern is vocabulary drift, already discussed above: the model understands the pathology but names it differently from the gold standard. What's interesting is that including the 84-label list in the prompt did not fully solve this. The model would acknowledge the vocabulary and then ignore parts of it. For complex multi-organ findings, a third failure mode emerges: the model fixates on the most salient organ (usually the liver) and misses abnormalities described later in the report for the kidneys or adrenal glands.</w:t>
      </w:r>
    </w:p>
    <w:p>
      <w:pPr>
        <w:spacing w:after="80" w:before="200"/>
      </w:pPr>
      <w:r>
        <w:rPr>
          <w:rFonts w:ascii="Times New Roman" w:cs="Times New Roman" w:eastAsia="Times New Roman" w:hAnsi="Times New Roman"/>
          <w:b/>
          <w:bCs/>
          <w:sz w:val="22"/>
          <w:szCs w:val="22"/>
        </w:rPr>
        <w:t xml:space="preserve">7.2 Residual Errors After Fine-Tuning</w:t>
      </w:r>
    </w:p>
    <w:p>
      <w:pPr>
        <w:spacing w:after="140" w:before="0"/>
      </w:pPr>
      <w:r>
        <w:rPr>
          <w:rFonts w:ascii="Times New Roman" w:cs="Times New Roman" w:eastAsia="Times New Roman" w:hAnsi="Times New Roman"/>
          <w:sz w:val="22"/>
          <w:szCs w:val="22"/>
        </w:rPr>
        <w:t xml:space="preserve">After fine-tuning, most of the vocabulary drift disappears — the model has learned the exact label names. What remains is harder to fix. The near-duplicate label pairs ("Polycystic kidney" vs. "Polycystic kidneys", "Enteritis" vs. "Enteritis possible") are genuinely ambiguous from the text alone, and the model gets them wrong at roughly the rate you would expect from chance. Rare labels that appear fewer than 10 times in training also remain weak: there simply are not enough examples to learn reliable patterns for diseases like Neuroblastoma or Retroperitoneal fibrosis.</w:t>
      </w:r>
    </w:p>
    <w:p>
      <w:pPr>
        <w:spacing w:after="140" w:before="0"/>
      </w:pPr>
      <w:r>
        <w:rPr>
          <w:rFonts w:ascii="Times New Roman" w:cs="Times New Roman" w:eastAsia="Times New Roman" w:hAnsi="Times New Roman"/>
          <w:sz w:val="22"/>
          <w:szCs w:val="22"/>
        </w:rPr>
        <w:t xml:space="preserve">For cases with four or more labels, the model occasionally predicts three correctly and drops the fourth, suggesting some difficulty maintaining full coverage across very long or complex findings. This might improve with a longer training run or a larger model.</w:t>
      </w:r>
    </w:p>
    <w:p>
      <w:pPr>
        <w:spacing w:after="80" w:before="200"/>
      </w:pPr>
      <w:r>
        <w:rPr>
          <w:rFonts w:ascii="Times New Roman" w:cs="Times New Roman" w:eastAsia="Times New Roman" w:hAnsi="Times New Roman"/>
          <w:b/>
          <w:bCs/>
          <w:sz w:val="22"/>
          <w:szCs w:val="22"/>
        </w:rPr>
        <w:t xml:space="preserve">7.3 What Would Help Most</w:t>
      </w:r>
    </w:p>
    <w:p>
      <w:pPr>
        <w:spacing w:after="140" w:before="0"/>
      </w:pPr>
      <w:r>
        <w:rPr>
          <w:rFonts w:ascii="Times New Roman" w:cs="Times New Roman" w:eastAsia="Times New Roman" w:hAnsi="Times New Roman"/>
          <w:sz w:val="22"/>
          <w:szCs w:val="22"/>
        </w:rPr>
        <w:t xml:space="preserve">The most direct improvement would be moving to Qwen3-8B, which should handle rare labels and complex multi-label cases better. On the data side, consolidating the near-duplicate label pairs would remove an ambiguity that no model can resolve without additional clinical context. For the zero-shot setting specifically, constrained decoding — enforcing the vocabulary at the token level during generation rather than relying on instruction following — would eliminate vocabulary drift entirely without needing any training data.</w:t>
      </w:r>
    </w:p>
    <w:p>
      <w:pPr>
        <w:spacing w:after="120" w:before="360"/>
      </w:pPr>
      <w:r>
        <w:rPr>
          <w:rFonts w:ascii="Times New Roman" w:cs="Times New Roman" w:eastAsia="Times New Roman" w:hAnsi="Times New Roman"/>
          <w:b/>
          <w:bCs/>
          <w:sz w:val="26"/>
          <w:szCs w:val="26"/>
        </w:rPr>
        <w:t xml:space="preserve">8. Conclusion</w:t>
      </w:r>
    </w:p>
    <w:p>
      <w:pPr>
        <w:spacing w:after="140" w:before="0"/>
      </w:pPr>
      <w:r>
        <w:rPr>
          <w:rFonts w:ascii="Times New Roman" w:cs="Times New Roman" w:eastAsia="Times New Roman" w:hAnsi="Times New Roman"/>
          <w:sz w:val="22"/>
          <w:szCs w:val="22"/>
        </w:rPr>
        <w:t xml:space="preserve">The main finding here is that prompt engineering alone hits a ceiling fairly quickly on this kind of structured extraction task. A carefully designed prompt with the full label vocabulary and few-shot examples gets Qwen3-4B to F1 = 0.43, but the model cannot reliably follow the constraint list under zero-shot conditions. Adding 1,000 labeled examples via QLoRA fine-tuning — 31 minutes of compute on a free GPU — closes most of that gap, bringing F1 to 0.67.</w:t>
      </w:r>
    </w:p>
    <w:p>
      <w:pPr>
        <w:spacing w:after="140" w:before="0"/>
      </w:pPr>
      <w:r>
        <w:rPr>
          <w:rFonts w:ascii="Times New Roman" w:cs="Times New Roman" w:eastAsia="Times New Roman" w:hAnsi="Times New Roman"/>
          <w:sz w:val="22"/>
          <w:szCs w:val="22"/>
        </w:rPr>
        <w:t xml:space="preserve">The remaining gap between 0.67 and expert-level performance is real, and probably comes down to a combination of model scale, label ambiguity in the dataset, and the difficulty of rare disease categories. But the approach is practical: the entire pipeline runs on freely available hardware, the trained adapter is small and easy to share, and the evaluation framework makes it straightforward to track improvements as the dataset or model grows.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2026-04-23T03:24:58.255Z</dcterms:created>
  <dcterms:modified xsi:type="dcterms:W3CDTF">2026-04-23T03:24:58.256Z</dcterms:modified>
</cp:coreProperties>
</file>

<file path=docProps/custom.xml><?xml version="1.0" encoding="utf-8"?>
<Properties xmlns="http://schemas.openxmlformats.org/officeDocument/2006/custom-properties" xmlns:vt="http://schemas.openxmlformats.org/officeDocument/2006/docPropsVTypes"/>
</file>