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8D52E">
      <w:pPr>
        <w:pStyle w:val="4"/>
        <w:keepNext w:val="0"/>
        <w:keepLines w:val="0"/>
        <w:widowControl/>
        <w:suppressLineNumbers w:val="0"/>
      </w:pPr>
      <w:r>
        <w:rPr>
          <w:rStyle w:val="5"/>
        </w:rPr>
        <w:t>Un Contenu Qui Convertit : Un Cadre Axé sur les Données pour la Génération de Leads B2B</w:t>
      </w:r>
    </w:p>
    <w:p w14:paraId="21290158">
      <w:pPr>
        <w:pStyle w:val="4"/>
        <w:keepNext w:val="0"/>
        <w:keepLines w:val="0"/>
        <w:widowControl/>
        <w:suppressLineNumbers w:val="0"/>
      </w:pPr>
      <w:r>
        <w:rPr>
          <w:rStyle w:val="5"/>
        </w:rPr>
        <w:t>Introduction : Pourquoi le Contenu Doit Aller au-delà de l’Éducation</w:t>
      </w:r>
      <w:r>
        <w:br w:type="textWrapping"/>
      </w:r>
      <w:r>
        <w:t xml:space="preserve">En marketing B2B, le contenu ne se limite pas à la visibilité </w:t>
      </w:r>
      <w:r>
        <w:rPr>
          <w:rFonts w:hint="default"/>
          <w:lang w:val="en-US"/>
        </w:rPr>
        <w:t xml:space="preserve"> </w:t>
      </w:r>
      <w:r>
        <w:t xml:space="preserve"> il s’agit de conversion. Les acheteurs sophistiqués d’aujourd’hui consom</w:t>
      </w:r>
      <w:bookmarkStart w:id="0" w:name="_GoBack"/>
      <w:bookmarkEnd w:id="0"/>
      <w:r>
        <w:t>ment du contenu bien avant de contacter le service commercial, s’attendant à de la valeur, de la personnalisation et des conseils les aidant à prendre des décisions complexes. Pour qu’un contenu convertisse, il doit dépasser les articles de blog génériques et devenir un moteur stratégique qui attire les prospects, renforce la confiance et les guide vers des résultats mesurables tels que des démos, des essais ou des formulaires complétés.</w:t>
      </w:r>
      <w:r>
        <w:br w:type="textWrapping"/>
      </w:r>
      <w:r>
        <w:t xml:space="preserve">Cet article présente un cadre basé sur les données pour le contenu B2B qui attire non seulement des prospects qualifiés, mais les fait progresser efficacement dans le parcours d’achat </w:t>
      </w:r>
      <w:r>
        <w:rPr>
          <w:rFonts w:hint="default"/>
          <w:lang w:val="en-US"/>
        </w:rPr>
        <w:t xml:space="preserve"> </w:t>
      </w:r>
      <w:r>
        <w:t xml:space="preserve"> de la prise de conscience à la décision.</w:t>
      </w:r>
    </w:p>
    <w:p w14:paraId="0AE8E8BB">
      <w:pPr>
        <w:keepNext w:val="0"/>
        <w:keepLines w:val="0"/>
        <w:widowControl/>
        <w:suppressLineNumbers w:val="0"/>
      </w:pPr>
    </w:p>
    <w:p w14:paraId="0CB87EFE">
      <w:pPr>
        <w:pStyle w:val="4"/>
        <w:keepNext w:val="0"/>
        <w:keepLines w:val="0"/>
        <w:widowControl/>
        <w:suppressLineNumbers w:val="0"/>
      </w:pPr>
      <w:r>
        <w:rPr>
          <w:rStyle w:val="5"/>
        </w:rPr>
        <w:t>1. Définir des Objectifs Clairs et la Notion de “Conversion”</w:t>
      </w:r>
      <w:r>
        <w:br w:type="textWrapping"/>
      </w:r>
      <w:r>
        <w:t>Avant de produire du contenu, clarifiez ce que signifie "conversion" dans votre contexte.</w:t>
      </w:r>
      <w:r>
        <w:br w:type="textWrapping"/>
      </w:r>
      <w:r>
        <w:t>Dans un entonnoir B2B SaaS typique, les conversions peuvent inclure :</w:t>
      </w:r>
    </w:p>
    <w:p w14:paraId="6F89E8DB">
      <w:pPr>
        <w:pStyle w:val="4"/>
        <w:keepNext w:val="0"/>
        <w:keepLines w:val="0"/>
        <w:widowControl/>
        <w:numPr>
          <w:ilvl w:val="0"/>
          <w:numId w:val="1"/>
        </w:numPr>
        <w:suppressLineNumbers w:val="0"/>
        <w:ind w:left="420" w:leftChars="0" w:hanging="420" w:firstLineChars="0"/>
      </w:pPr>
      <w:r>
        <w:t>Engagement de contenu (ex. : temps passé sur la page, profondeur de défilement)</w:t>
      </w:r>
    </w:p>
    <w:p w14:paraId="2D640DAB">
      <w:pPr>
        <w:pStyle w:val="4"/>
        <w:keepNext w:val="0"/>
        <w:keepLines w:val="0"/>
        <w:widowControl/>
        <w:numPr>
          <w:ilvl w:val="0"/>
          <w:numId w:val="1"/>
        </w:numPr>
        <w:suppressLineNumbers w:val="0"/>
        <w:ind w:left="420" w:leftChars="0" w:hanging="420" w:firstLineChars="0"/>
      </w:pPr>
      <w:r>
        <w:t>Actions de capture de leads (ex. : soumissions de formulaires, téléchargements de contenu)</w:t>
      </w:r>
    </w:p>
    <w:p w14:paraId="489A2B7F">
      <w:pPr>
        <w:pStyle w:val="4"/>
        <w:keepNext w:val="0"/>
        <w:keepLines w:val="0"/>
        <w:widowControl/>
        <w:numPr>
          <w:ilvl w:val="0"/>
          <w:numId w:val="1"/>
        </w:numPr>
        <w:suppressLineNumbers w:val="0"/>
        <w:ind w:left="420" w:leftChars="0" w:hanging="420" w:firstLineChars="0"/>
      </w:pPr>
      <w:r>
        <w:t>MQLs (Marketing Qualified Leads) définis par activité ou données démographiques</w:t>
      </w:r>
    </w:p>
    <w:p w14:paraId="3A7181D9">
      <w:pPr>
        <w:pStyle w:val="4"/>
        <w:keepNext w:val="0"/>
        <w:keepLines w:val="0"/>
        <w:widowControl/>
        <w:numPr>
          <w:ilvl w:val="0"/>
          <w:numId w:val="1"/>
        </w:numPr>
        <w:suppressLineNumbers w:val="0"/>
        <w:ind w:left="420" w:leftChars="0" w:hanging="420" w:firstLineChars="0"/>
      </w:pPr>
      <w:r>
        <w:t>Demandes de démo ou d’essai</w:t>
      </w:r>
    </w:p>
    <w:p w14:paraId="5D5488CD">
      <w:pPr>
        <w:pStyle w:val="4"/>
        <w:keepNext w:val="0"/>
        <w:keepLines w:val="0"/>
        <w:widowControl/>
        <w:suppressLineNumbers w:val="0"/>
        <w:ind w:left="240" w:hanging="240" w:hangingChars="100"/>
      </w:pPr>
      <w:r>
        <w:t xml:space="preserve">En établissant des KPI clairs dès le départ et en les alignant aux étapes de l’entonnoir </w:t>
      </w:r>
      <w:r>
        <w:rPr>
          <w:rStyle w:val="5"/>
        </w:rPr>
        <w:t>Conscience, Considération, Décision</w:t>
      </w:r>
      <w:r>
        <w:t xml:space="preserve"> </w:t>
      </w:r>
      <w:r>
        <w:rPr>
          <w:rFonts w:hint="default"/>
          <w:lang w:val="en-US"/>
        </w:rPr>
        <w:t xml:space="preserve"> </w:t>
      </w:r>
      <w:r>
        <w:t xml:space="preserve"> vous garantissez que votre stratégie de contenu répond aux objectifs de l’entreprise, pas seulement à la publication.</w:t>
      </w:r>
    </w:p>
    <w:p w14:paraId="58B63740">
      <w:pPr>
        <w:keepNext w:val="0"/>
        <w:keepLines w:val="0"/>
        <w:widowControl/>
        <w:suppressLineNumbers w:val="0"/>
      </w:pPr>
    </w:p>
    <w:p w14:paraId="51558975">
      <w:pPr>
        <w:pStyle w:val="4"/>
        <w:keepNext w:val="0"/>
        <w:keepLines w:val="0"/>
        <w:widowControl/>
        <w:suppressLineNumbers w:val="0"/>
      </w:pPr>
      <w:r>
        <w:rPr>
          <w:rStyle w:val="5"/>
        </w:rPr>
        <w:t>2. Comprendre l’Acheteur et Utiliser les Données pour Planifier le Contenu</w:t>
      </w:r>
      <w:r>
        <w:br w:type="textWrapping"/>
      </w:r>
      <w:r>
        <w:t>La base de tout cadre de contenu orienté conversion est la connaissance de l’audience. Le contenu générique attire des clics, mais le contenu pertinent génère des leads.</w:t>
      </w:r>
    </w:p>
    <w:p w14:paraId="49777EEB">
      <w:pPr>
        <w:pStyle w:val="4"/>
        <w:keepNext w:val="0"/>
        <w:keepLines w:val="0"/>
        <w:widowControl/>
        <w:suppressLineNumbers w:val="0"/>
      </w:pPr>
      <w:r>
        <w:rPr>
          <w:rStyle w:val="5"/>
        </w:rPr>
        <w:t>2.1 Construire des Personas d’Acheteurs avec des Données Réelles</w:t>
      </w:r>
      <w:r>
        <w:br w:type="textWrapping"/>
      </w:r>
      <w:r>
        <w:t>Commencez par des recherches qualitatives et quantitatives :</w:t>
      </w:r>
    </w:p>
    <w:p w14:paraId="2AED0071">
      <w:pPr>
        <w:pStyle w:val="4"/>
        <w:keepNext w:val="0"/>
        <w:keepLines w:val="0"/>
        <w:widowControl/>
        <w:numPr>
          <w:ilvl w:val="0"/>
          <w:numId w:val="1"/>
        </w:numPr>
        <w:suppressLineNumbers w:val="0"/>
        <w:ind w:left="420" w:leftChars="0" w:hanging="420" w:firstLineChars="0"/>
      </w:pPr>
      <w:r>
        <w:t>Données CRM sur les clients existants (rôles, industries, comportements)</w:t>
      </w:r>
    </w:p>
    <w:p w14:paraId="1D4BFC3A">
      <w:pPr>
        <w:pStyle w:val="4"/>
        <w:keepNext w:val="0"/>
        <w:keepLines w:val="0"/>
        <w:widowControl/>
        <w:numPr>
          <w:ilvl w:val="0"/>
          <w:numId w:val="1"/>
        </w:numPr>
        <w:suppressLineNumbers w:val="0"/>
        <w:ind w:left="420" w:leftChars="0" w:hanging="420" w:firstLineChars="0"/>
      </w:pPr>
      <w:r>
        <w:t>Analyses du site web et données de recherche</w:t>
      </w:r>
    </w:p>
    <w:p w14:paraId="3EB2D2C8">
      <w:pPr>
        <w:pStyle w:val="4"/>
        <w:keepNext w:val="0"/>
        <w:keepLines w:val="0"/>
        <w:widowControl/>
        <w:numPr>
          <w:ilvl w:val="0"/>
          <w:numId w:val="1"/>
        </w:numPr>
        <w:suppressLineNumbers w:val="0"/>
        <w:ind w:left="420" w:leftChars="0" w:hanging="420" w:firstLineChars="0"/>
      </w:pPr>
      <w:r>
        <w:t>Réponses aux enquêtes ou interviews clients</w:t>
      </w:r>
    </w:p>
    <w:p w14:paraId="60C2B0E4">
      <w:pPr>
        <w:pStyle w:val="4"/>
        <w:keepNext w:val="0"/>
        <w:keepLines w:val="0"/>
        <w:widowControl/>
        <w:suppressLineNumbers w:val="0"/>
      </w:pPr>
      <w:r>
        <w:t>Développez des personas qui incluent :</w:t>
      </w:r>
    </w:p>
    <w:p w14:paraId="683CB1C1">
      <w:pPr>
        <w:pStyle w:val="4"/>
        <w:keepNext w:val="0"/>
        <w:keepLines w:val="0"/>
        <w:widowControl/>
        <w:numPr>
          <w:ilvl w:val="0"/>
          <w:numId w:val="1"/>
        </w:numPr>
        <w:suppressLineNumbers w:val="0"/>
        <w:ind w:left="420" w:leftChars="0" w:hanging="420" w:firstLineChars="0"/>
      </w:pPr>
      <w:r>
        <w:t>Points de douleur et priorités</w:t>
      </w:r>
    </w:p>
    <w:p w14:paraId="7A831445">
      <w:pPr>
        <w:pStyle w:val="4"/>
        <w:keepNext w:val="0"/>
        <w:keepLines w:val="0"/>
        <w:widowControl/>
        <w:numPr>
          <w:ilvl w:val="0"/>
          <w:numId w:val="1"/>
        </w:numPr>
        <w:suppressLineNumbers w:val="0"/>
        <w:ind w:left="420" w:leftChars="0" w:hanging="420" w:firstLineChars="0"/>
      </w:pPr>
      <w:r>
        <w:t>Canaux et types de contenu préférés</w:t>
      </w:r>
    </w:p>
    <w:p w14:paraId="44B11336">
      <w:pPr>
        <w:pStyle w:val="4"/>
        <w:keepNext w:val="0"/>
        <w:keepLines w:val="0"/>
        <w:widowControl/>
        <w:numPr>
          <w:ilvl w:val="0"/>
          <w:numId w:val="1"/>
        </w:numPr>
        <w:suppressLineNumbers w:val="0"/>
        <w:ind w:left="420" w:leftChars="0" w:hanging="420" w:firstLineChars="0"/>
      </w:pPr>
      <w:r>
        <w:t>Questions typiques à chaque étape du processus de décision</w:t>
      </w:r>
    </w:p>
    <w:p w14:paraId="69D81C11">
      <w:pPr>
        <w:pStyle w:val="4"/>
        <w:keepNext w:val="0"/>
        <w:keepLines w:val="0"/>
        <w:widowControl/>
        <w:suppressLineNumbers w:val="0"/>
      </w:pPr>
      <w:r>
        <w:t>Comprendre votre audience permet d’adapter les sujets, le ton et les formats du contenu à ce qui favorise l’engagement, et non aux suppositions.</w:t>
      </w:r>
    </w:p>
    <w:p w14:paraId="0E307CF1">
      <w:pPr>
        <w:pStyle w:val="4"/>
        <w:keepNext w:val="0"/>
        <w:keepLines w:val="0"/>
        <w:widowControl/>
        <w:suppressLineNumbers w:val="0"/>
      </w:pPr>
      <w:r>
        <w:rPr>
          <w:rStyle w:val="5"/>
        </w:rPr>
        <w:t>2.2 Exploiter les Données Comportementales pour Personnaliser le Contenu</w:t>
      </w:r>
      <w:r>
        <w:br w:type="textWrapping"/>
      </w:r>
      <w:r>
        <w:t>Utilisez des outils comme les heatmaps, les analytics de site et les données CRM pour segmenter les utilisateurs selon leur comportement et personnaliser les parcours de contenu. Par exemple :</w:t>
      </w:r>
    </w:p>
    <w:p w14:paraId="2813108B">
      <w:pPr>
        <w:pStyle w:val="4"/>
        <w:keepNext w:val="0"/>
        <w:keepLines w:val="0"/>
        <w:widowControl/>
        <w:numPr>
          <w:ilvl w:val="0"/>
          <w:numId w:val="1"/>
        </w:numPr>
        <w:suppressLineNumbers w:val="0"/>
        <w:ind w:left="420" w:leftChars="0" w:hanging="420" w:firstLineChars="0"/>
      </w:pPr>
      <w:r>
        <w:t>Les visiteurs qui lisent des articles de comparaison de fonctionnalités sont plus proches d’une décision d’achat.</w:t>
      </w:r>
    </w:p>
    <w:p w14:paraId="7B18AEA7">
      <w:pPr>
        <w:pStyle w:val="4"/>
        <w:keepNext w:val="0"/>
        <w:keepLines w:val="0"/>
        <w:widowControl/>
        <w:numPr>
          <w:ilvl w:val="0"/>
          <w:numId w:val="1"/>
        </w:numPr>
        <w:suppressLineNumbers w:val="0"/>
        <w:ind w:left="420" w:leftChars="0" w:hanging="420" w:firstLineChars="0"/>
      </w:pPr>
      <w:r>
        <w:t>Les utilisateurs qui interagissent avec du contenu éducatif peuvent être encore en phase de sensibilisation.</w:t>
      </w:r>
    </w:p>
    <w:p w14:paraId="3D051824">
      <w:pPr>
        <w:pStyle w:val="4"/>
        <w:keepNext w:val="0"/>
        <w:keepLines w:val="0"/>
        <w:widowControl/>
        <w:suppressLineNumbers w:val="0"/>
      </w:pPr>
      <w:r>
        <w:t xml:space="preserve">Cette segmentation basée sur le comportement permet de personnaliser les parcours et les CTA </w:t>
      </w:r>
      <w:r>
        <w:rPr>
          <w:rFonts w:hint="default"/>
          <w:lang w:val="en-US"/>
        </w:rPr>
        <w:t xml:space="preserve"> </w:t>
      </w:r>
      <w:r>
        <w:t xml:space="preserve"> augmentant la probabilité de conversion.</w:t>
      </w:r>
    </w:p>
    <w:p w14:paraId="048D27EF">
      <w:pPr>
        <w:keepNext w:val="0"/>
        <w:keepLines w:val="0"/>
        <w:widowControl/>
        <w:suppressLineNumbers w:val="0"/>
      </w:pPr>
    </w:p>
    <w:p w14:paraId="14908D77">
      <w:pPr>
        <w:pStyle w:val="4"/>
        <w:keepNext w:val="0"/>
        <w:keepLines w:val="0"/>
        <w:widowControl/>
        <w:suppressLineNumbers w:val="0"/>
      </w:pPr>
      <w:r>
        <w:rPr>
          <w:rStyle w:val="5"/>
        </w:rPr>
        <w:t>3. Cartographier le Contenu selon le Parcours d’Achat</w:t>
      </w:r>
      <w:r>
        <w:br w:type="textWrapping"/>
      </w:r>
      <w:r>
        <w:t xml:space="preserve">Le contenu B2B efficace n’est pas aléatoire </w:t>
      </w:r>
      <w:r>
        <w:rPr>
          <w:rFonts w:hint="default"/>
          <w:lang w:val="en-US"/>
        </w:rPr>
        <w:t xml:space="preserve"> </w:t>
      </w:r>
      <w:r>
        <w:t xml:space="preserve"> il est créé pour des étapes spécifiques du parcours d’achat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7"/>
        <w:gridCol w:w="1394"/>
        <w:gridCol w:w="2406"/>
        <w:gridCol w:w="2799"/>
      </w:tblGrid>
      <w:tr w14:paraId="418D2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C4F1C3">
            <w:pPr>
              <w:keepNext w:val="0"/>
              <w:keepLines w:val="0"/>
              <w:widowControl/>
              <w:suppressLineNumbers w:val="0"/>
              <w:jc w:val="center"/>
              <w:rPr>
                <w:b/>
                <w:bCs/>
              </w:rPr>
            </w:pPr>
            <w:r>
              <w:rPr>
                <w:rFonts w:ascii="SimSun" w:hAnsi="SimSun" w:eastAsia="SimSun" w:cs="SimSun"/>
                <w:b/>
                <w:bCs/>
                <w:kern w:val="0"/>
                <w:sz w:val="24"/>
                <w:szCs w:val="24"/>
                <w:lang w:val="en-US" w:eastAsia="zh-CN" w:bidi="ar"/>
              </w:rPr>
              <w:t>Étape du Tunnel</w:t>
            </w:r>
          </w:p>
        </w:tc>
        <w:tc>
          <w:tcPr>
            <w:tcW w:w="0" w:type="auto"/>
            <w:shd w:val="clear"/>
            <w:vAlign w:val="center"/>
          </w:tcPr>
          <w:p w14:paraId="717B4F94">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Objectif</w:t>
            </w:r>
          </w:p>
        </w:tc>
        <w:tc>
          <w:tcPr>
            <w:tcW w:w="0" w:type="auto"/>
            <w:shd w:val="clear"/>
            <w:vAlign w:val="center"/>
          </w:tcPr>
          <w:p w14:paraId="18E256AF">
            <w:pPr>
              <w:keepNext w:val="0"/>
              <w:keepLines w:val="0"/>
              <w:widowControl/>
              <w:suppressLineNumbers w:val="0"/>
              <w:jc w:val="center"/>
              <w:rPr>
                <w:b/>
                <w:bCs/>
              </w:rPr>
            </w:pPr>
            <w:r>
              <w:rPr>
                <w:rFonts w:ascii="SimSun" w:hAnsi="SimSun" w:eastAsia="SimSun" w:cs="SimSun"/>
                <w:b/>
                <w:bCs/>
                <w:kern w:val="0"/>
                <w:sz w:val="24"/>
                <w:szCs w:val="24"/>
                <w:lang w:val="en-US" w:eastAsia="zh-CN" w:bidi="ar"/>
              </w:rPr>
              <w:t>Contenu Typique</w:t>
            </w:r>
          </w:p>
        </w:tc>
        <w:tc>
          <w:tcPr>
            <w:tcW w:w="0" w:type="auto"/>
            <w:shd w:val="clear"/>
            <w:vAlign w:val="center"/>
          </w:tcPr>
          <w:p w14:paraId="0990B6B3">
            <w:pPr>
              <w:keepNext w:val="0"/>
              <w:keepLines w:val="0"/>
              <w:widowControl/>
              <w:suppressLineNumbers w:val="0"/>
              <w:jc w:val="center"/>
              <w:rPr>
                <w:b/>
                <w:bCs/>
              </w:rPr>
            </w:pPr>
            <w:r>
              <w:rPr>
                <w:rFonts w:ascii="SimSun" w:hAnsi="SimSun" w:eastAsia="SimSun" w:cs="SimSun"/>
                <w:b/>
                <w:bCs/>
                <w:kern w:val="0"/>
                <w:sz w:val="24"/>
                <w:szCs w:val="24"/>
                <w:lang w:val="en-US" w:eastAsia="zh-CN" w:bidi="ar"/>
              </w:rPr>
              <w:t>Déclencheur de Conversion</w:t>
            </w:r>
          </w:p>
        </w:tc>
      </w:tr>
      <w:tr w14:paraId="65540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AA595">
            <w:pPr>
              <w:keepNext w:val="0"/>
              <w:keepLines w:val="0"/>
              <w:widowControl/>
              <w:suppressLineNumbers w:val="0"/>
              <w:jc w:val="left"/>
            </w:pPr>
            <w:r>
              <w:rPr>
                <w:rFonts w:ascii="SimSun" w:hAnsi="SimSun" w:eastAsia="SimSun" w:cs="SimSun"/>
                <w:kern w:val="0"/>
                <w:sz w:val="24"/>
                <w:szCs w:val="24"/>
                <w:lang w:val="en-US" w:eastAsia="zh-CN" w:bidi="ar"/>
              </w:rPr>
              <w:t>Conscience (TOFU)</w:t>
            </w:r>
          </w:p>
        </w:tc>
        <w:tc>
          <w:tcPr>
            <w:tcW w:w="0" w:type="auto"/>
            <w:shd w:val="clear"/>
            <w:vAlign w:val="center"/>
          </w:tcPr>
          <w:p w14:paraId="7E1A1859">
            <w:pPr>
              <w:keepNext w:val="0"/>
              <w:keepLines w:val="0"/>
              <w:widowControl/>
              <w:suppressLineNumbers w:val="0"/>
              <w:jc w:val="left"/>
            </w:pPr>
            <w:r>
              <w:rPr>
                <w:rFonts w:ascii="SimSun" w:hAnsi="SimSun" w:eastAsia="SimSun" w:cs="SimSun"/>
                <w:kern w:val="0"/>
                <w:sz w:val="24"/>
                <w:szCs w:val="24"/>
                <w:lang w:val="en-US" w:eastAsia="zh-CN" w:bidi="ar"/>
              </w:rPr>
              <w:t>Attirer &amp; Éduquer</w:t>
            </w:r>
          </w:p>
        </w:tc>
        <w:tc>
          <w:tcPr>
            <w:tcW w:w="0" w:type="auto"/>
            <w:shd w:val="clear"/>
            <w:vAlign w:val="center"/>
          </w:tcPr>
          <w:p w14:paraId="1705AC74">
            <w:pPr>
              <w:keepNext w:val="0"/>
              <w:keepLines w:val="0"/>
              <w:widowControl/>
              <w:suppressLineNumbers w:val="0"/>
              <w:jc w:val="left"/>
            </w:pPr>
            <w:r>
              <w:rPr>
                <w:rFonts w:ascii="SimSun" w:hAnsi="SimSun" w:eastAsia="SimSun" w:cs="SimSun"/>
                <w:kern w:val="0"/>
                <w:sz w:val="24"/>
                <w:szCs w:val="24"/>
                <w:lang w:val="en-US" w:eastAsia="zh-CN" w:bidi="ar"/>
              </w:rPr>
              <w:t>Articles de blog, analyses sectorielles, guides</w:t>
            </w:r>
          </w:p>
        </w:tc>
        <w:tc>
          <w:tcPr>
            <w:tcW w:w="0" w:type="auto"/>
            <w:shd w:val="clear"/>
            <w:vAlign w:val="center"/>
          </w:tcPr>
          <w:p w14:paraId="48FAD1B4">
            <w:pPr>
              <w:keepNext w:val="0"/>
              <w:keepLines w:val="0"/>
              <w:widowControl/>
              <w:suppressLineNumbers w:val="0"/>
              <w:jc w:val="left"/>
            </w:pPr>
            <w:r>
              <w:rPr>
                <w:rFonts w:ascii="SimSun" w:hAnsi="SimSun" w:eastAsia="SimSun" w:cs="SimSun"/>
                <w:kern w:val="0"/>
                <w:sz w:val="24"/>
                <w:szCs w:val="24"/>
                <w:lang w:val="en-US" w:eastAsia="zh-CN" w:bidi="ar"/>
              </w:rPr>
              <w:t>Inscriptions aux newsletters</w:t>
            </w:r>
          </w:p>
        </w:tc>
      </w:tr>
      <w:tr w14:paraId="07994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23AA44">
            <w:pPr>
              <w:keepNext w:val="0"/>
              <w:keepLines w:val="0"/>
              <w:widowControl/>
              <w:suppressLineNumbers w:val="0"/>
              <w:jc w:val="left"/>
            </w:pPr>
            <w:r>
              <w:rPr>
                <w:rFonts w:ascii="SimSun" w:hAnsi="SimSun" w:eastAsia="SimSun" w:cs="SimSun"/>
                <w:kern w:val="0"/>
                <w:sz w:val="24"/>
                <w:szCs w:val="24"/>
                <w:lang w:val="en-US" w:eastAsia="zh-CN" w:bidi="ar"/>
              </w:rPr>
              <w:t>Considération (MOFU)</w:t>
            </w:r>
          </w:p>
        </w:tc>
        <w:tc>
          <w:tcPr>
            <w:tcW w:w="0" w:type="auto"/>
            <w:shd w:val="clear"/>
            <w:vAlign w:val="center"/>
          </w:tcPr>
          <w:p w14:paraId="7AF03AC5">
            <w:pPr>
              <w:keepNext w:val="0"/>
              <w:keepLines w:val="0"/>
              <w:widowControl/>
              <w:suppressLineNumbers w:val="0"/>
              <w:jc w:val="left"/>
            </w:pPr>
            <w:r>
              <w:rPr>
                <w:rFonts w:ascii="SimSun" w:hAnsi="SimSun" w:eastAsia="SimSun" w:cs="SimSun"/>
                <w:kern w:val="0"/>
                <w:sz w:val="24"/>
                <w:szCs w:val="24"/>
                <w:lang w:val="en-US" w:eastAsia="zh-CN" w:bidi="ar"/>
              </w:rPr>
              <w:t>Nourrir &amp; Engager</w:t>
            </w:r>
          </w:p>
        </w:tc>
        <w:tc>
          <w:tcPr>
            <w:tcW w:w="0" w:type="auto"/>
            <w:shd w:val="clear"/>
            <w:vAlign w:val="center"/>
          </w:tcPr>
          <w:p w14:paraId="275BE858">
            <w:pPr>
              <w:keepNext w:val="0"/>
              <w:keepLines w:val="0"/>
              <w:widowControl/>
              <w:suppressLineNumbers w:val="0"/>
              <w:jc w:val="left"/>
            </w:pPr>
            <w:r>
              <w:rPr>
                <w:rFonts w:ascii="SimSun" w:hAnsi="SimSun" w:eastAsia="SimSun" w:cs="SimSun"/>
                <w:kern w:val="0"/>
                <w:sz w:val="24"/>
                <w:szCs w:val="24"/>
                <w:lang w:val="en-US" w:eastAsia="zh-CN" w:bidi="ar"/>
              </w:rPr>
              <w:t>Webinaires, livres blancs</w:t>
            </w:r>
          </w:p>
        </w:tc>
        <w:tc>
          <w:tcPr>
            <w:tcW w:w="0" w:type="auto"/>
            <w:shd w:val="clear"/>
            <w:vAlign w:val="center"/>
          </w:tcPr>
          <w:p w14:paraId="19875C6D">
            <w:pPr>
              <w:keepNext w:val="0"/>
              <w:keepLines w:val="0"/>
              <w:widowControl/>
              <w:suppressLineNumbers w:val="0"/>
              <w:jc w:val="left"/>
            </w:pPr>
            <w:r>
              <w:rPr>
                <w:rFonts w:ascii="SimSun" w:hAnsi="SimSun" w:eastAsia="SimSun" w:cs="SimSun"/>
                <w:kern w:val="0"/>
                <w:sz w:val="24"/>
                <w:szCs w:val="24"/>
                <w:lang w:val="en-US" w:eastAsia="zh-CN" w:bidi="ar"/>
              </w:rPr>
              <w:t>Téléchargements de contenu, inscriptions aux webinaires</w:t>
            </w:r>
          </w:p>
        </w:tc>
      </w:tr>
      <w:tr w14:paraId="170E5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B087EF">
            <w:pPr>
              <w:keepNext w:val="0"/>
              <w:keepLines w:val="0"/>
              <w:widowControl/>
              <w:suppressLineNumbers w:val="0"/>
              <w:jc w:val="left"/>
            </w:pPr>
            <w:r>
              <w:rPr>
                <w:rFonts w:ascii="SimSun" w:hAnsi="SimSun" w:eastAsia="SimSun" w:cs="SimSun"/>
                <w:kern w:val="0"/>
                <w:sz w:val="24"/>
                <w:szCs w:val="24"/>
                <w:lang w:val="en-US" w:eastAsia="zh-CN" w:bidi="ar"/>
              </w:rPr>
              <w:t>Décision (BOFU)</w:t>
            </w:r>
          </w:p>
        </w:tc>
        <w:tc>
          <w:tcPr>
            <w:tcW w:w="0" w:type="auto"/>
            <w:shd w:val="clear"/>
            <w:vAlign w:val="center"/>
          </w:tcPr>
          <w:p w14:paraId="2D0406CF">
            <w:pPr>
              <w:keepNext w:val="0"/>
              <w:keepLines w:val="0"/>
              <w:widowControl/>
              <w:suppressLineNumbers w:val="0"/>
              <w:jc w:val="left"/>
            </w:pPr>
            <w:r>
              <w:rPr>
                <w:rFonts w:ascii="SimSun" w:hAnsi="SimSun" w:eastAsia="SimSun" w:cs="SimSun"/>
                <w:kern w:val="0"/>
                <w:sz w:val="24"/>
                <w:szCs w:val="24"/>
                <w:lang w:val="en-US" w:eastAsia="zh-CN" w:bidi="ar"/>
              </w:rPr>
              <w:t>Convertir &amp; Conclure</w:t>
            </w:r>
          </w:p>
        </w:tc>
        <w:tc>
          <w:tcPr>
            <w:tcW w:w="0" w:type="auto"/>
            <w:shd w:val="clear"/>
            <w:vAlign w:val="center"/>
          </w:tcPr>
          <w:p w14:paraId="3870464A">
            <w:pPr>
              <w:keepNext w:val="0"/>
              <w:keepLines w:val="0"/>
              <w:widowControl/>
              <w:suppressLineNumbers w:val="0"/>
              <w:jc w:val="left"/>
            </w:pPr>
            <w:r>
              <w:rPr>
                <w:rFonts w:ascii="SimSun" w:hAnsi="SimSun" w:eastAsia="SimSun" w:cs="SimSun"/>
                <w:kern w:val="0"/>
                <w:sz w:val="24"/>
                <w:szCs w:val="24"/>
                <w:lang w:val="en-US" w:eastAsia="zh-CN" w:bidi="ar"/>
              </w:rPr>
              <w:t>Études de cas, démos produits, calculateurs ROI</w:t>
            </w:r>
          </w:p>
        </w:tc>
        <w:tc>
          <w:tcPr>
            <w:tcW w:w="0" w:type="auto"/>
            <w:shd w:val="clear"/>
            <w:vAlign w:val="center"/>
          </w:tcPr>
          <w:p w14:paraId="4A9D25D8">
            <w:pPr>
              <w:keepNext w:val="0"/>
              <w:keepLines w:val="0"/>
              <w:widowControl/>
              <w:suppressLineNumbers w:val="0"/>
              <w:jc w:val="left"/>
            </w:pPr>
            <w:r>
              <w:rPr>
                <w:rFonts w:ascii="SimSun" w:hAnsi="SimSun" w:eastAsia="SimSun" w:cs="SimSun"/>
                <w:kern w:val="0"/>
                <w:sz w:val="24"/>
                <w:szCs w:val="24"/>
                <w:lang w:val="en-US" w:eastAsia="zh-CN" w:bidi="ar"/>
              </w:rPr>
              <w:t>Demandes de démo, essais gratuits</w:t>
            </w:r>
          </w:p>
        </w:tc>
      </w:tr>
    </w:tbl>
    <w:p w14:paraId="7C3472FB">
      <w:pPr>
        <w:pStyle w:val="4"/>
        <w:keepNext w:val="0"/>
        <w:keepLines w:val="0"/>
        <w:widowControl/>
        <w:suppressLineNumbers w:val="0"/>
      </w:pPr>
      <w:r>
        <w:t>Ce funnel structuré aide à guider les prospects de l’apprentissage à la sélection de votre solution.</w:t>
      </w:r>
    </w:p>
    <w:p w14:paraId="41A2075E">
      <w:pPr>
        <w:keepNext w:val="0"/>
        <w:keepLines w:val="0"/>
        <w:widowControl/>
        <w:suppressLineNumbers w:val="0"/>
      </w:pPr>
    </w:p>
    <w:p w14:paraId="249BC7AD">
      <w:pPr>
        <w:pStyle w:val="4"/>
        <w:keepNext w:val="0"/>
        <w:keepLines w:val="0"/>
        <w:widowControl/>
        <w:suppressLineNumbers w:val="0"/>
      </w:pPr>
      <w:r>
        <w:rPr>
          <w:rStyle w:val="5"/>
        </w:rPr>
        <w:t>4. Créer des Lead Magnets de Valeur Qui Capturent l’Intention</w:t>
      </w:r>
      <w:r>
        <w:br w:type="textWrapping"/>
      </w:r>
      <w:r>
        <w:t>Pour convertir le trafic en leads, vous avez besoin de lead magnets irrésistibles  ressources protégées offrant une valeur claire et mesurable.</w:t>
      </w:r>
      <w:r>
        <w:br w:type="textWrapping"/>
      </w:r>
      <w:r>
        <w:t>Exemples efficaces :</w:t>
      </w:r>
    </w:p>
    <w:p w14:paraId="54E9102D">
      <w:pPr>
        <w:pStyle w:val="4"/>
        <w:keepNext w:val="0"/>
        <w:keepLines w:val="0"/>
        <w:widowControl/>
        <w:numPr>
          <w:ilvl w:val="0"/>
          <w:numId w:val="1"/>
        </w:numPr>
        <w:suppressLineNumbers w:val="0"/>
        <w:ind w:left="420" w:leftChars="0" w:hanging="420" w:firstLineChars="0"/>
      </w:pPr>
      <w:r>
        <w:t>Rapports de recherche ou études benchmark révélant des insights sectoriels</w:t>
      </w:r>
    </w:p>
    <w:p w14:paraId="61832387">
      <w:pPr>
        <w:pStyle w:val="4"/>
        <w:keepNext w:val="0"/>
        <w:keepLines w:val="0"/>
        <w:widowControl/>
        <w:numPr>
          <w:ilvl w:val="0"/>
          <w:numId w:val="1"/>
        </w:numPr>
        <w:suppressLineNumbers w:val="0"/>
        <w:ind w:left="420" w:leftChars="0" w:hanging="420" w:firstLineChars="0"/>
      </w:pPr>
      <w:r>
        <w:t>Kits d’outils ou modèles pratiques (ex. : checklists d’onboarding)</w:t>
      </w:r>
    </w:p>
    <w:p w14:paraId="61B98EBB">
      <w:pPr>
        <w:pStyle w:val="4"/>
        <w:keepNext w:val="0"/>
        <w:keepLines w:val="0"/>
        <w:widowControl/>
        <w:numPr>
          <w:ilvl w:val="0"/>
          <w:numId w:val="1"/>
        </w:numPr>
        <w:suppressLineNumbers w:val="0"/>
        <w:ind w:left="420" w:leftChars="0" w:hanging="420" w:firstLineChars="0"/>
      </w:pPr>
      <w:r>
        <w:t>Accès à des webinaires avec questions-réponses d’experts</w:t>
      </w:r>
    </w:p>
    <w:p w14:paraId="40B619F7">
      <w:pPr>
        <w:pStyle w:val="4"/>
        <w:keepNext w:val="0"/>
        <w:keepLines w:val="0"/>
        <w:widowControl/>
        <w:numPr>
          <w:ilvl w:val="0"/>
          <w:numId w:val="1"/>
        </w:numPr>
        <w:suppressLineNumbers w:val="0"/>
        <w:ind w:left="420" w:leftChars="0" w:hanging="420" w:firstLineChars="0"/>
      </w:pPr>
      <w:r>
        <w:t>Calculateurs ROI quantifiant l’impact</w:t>
      </w:r>
    </w:p>
    <w:p w14:paraId="005304B5">
      <w:pPr>
        <w:pStyle w:val="4"/>
        <w:keepNext w:val="0"/>
        <w:keepLines w:val="0"/>
        <w:widowControl/>
        <w:suppressLineNumbers w:val="0"/>
      </w:pPr>
      <w:r>
        <w:t>Ces actifs apportent de la valeur avant de demander des informations de contact, renforçant la confiance et la probabilité de conversion.</w:t>
      </w:r>
    </w:p>
    <w:p w14:paraId="39B4B9F5">
      <w:pPr>
        <w:keepNext w:val="0"/>
        <w:keepLines w:val="0"/>
        <w:widowControl/>
        <w:suppressLineNumbers w:val="0"/>
      </w:pPr>
    </w:p>
    <w:p w14:paraId="6E4CBFE7">
      <w:pPr>
        <w:pStyle w:val="4"/>
        <w:keepNext w:val="0"/>
        <w:keepLines w:val="0"/>
        <w:widowControl/>
        <w:suppressLineNumbers w:val="0"/>
      </w:pPr>
      <w:r>
        <w:rPr>
          <w:rStyle w:val="5"/>
        </w:rPr>
        <w:t>5. Nurturer les Leads avec des Suivis Séquencés et Alignés sur l’Intention</w:t>
      </w:r>
      <w:r>
        <w:br w:type="textWrapping"/>
      </w:r>
      <w:r>
        <w:t xml:space="preserve">La capture de lead n’est que le début </w:t>
      </w:r>
      <w:r>
        <w:rPr>
          <w:rFonts w:hint="default"/>
          <w:lang w:val="en-US"/>
        </w:rPr>
        <w:t xml:space="preserve"> </w:t>
      </w:r>
      <w:r>
        <w:t xml:space="preserve"> la conversion dépend de la manière dont vous entretenez ces leads.</w:t>
      </w:r>
    </w:p>
    <w:p w14:paraId="42BCFADC">
      <w:pPr>
        <w:pStyle w:val="4"/>
        <w:keepNext w:val="0"/>
        <w:keepLines w:val="0"/>
        <w:widowControl/>
        <w:suppressLineNumbers w:val="0"/>
      </w:pPr>
      <w:r>
        <w:rPr>
          <w:rStyle w:val="5"/>
        </w:rPr>
        <w:t>5.1 Segmenter et Noter les Leads</w:t>
      </w:r>
      <w:r>
        <w:br w:type="textWrapping"/>
      </w:r>
      <w:r>
        <w:t>Utilisez des scores démographiques et comportementaux pour prioriser les leads :</w:t>
      </w:r>
    </w:p>
    <w:p w14:paraId="7A69B293">
      <w:pPr>
        <w:pStyle w:val="4"/>
        <w:keepNext w:val="0"/>
        <w:keepLines w:val="0"/>
        <w:widowControl/>
        <w:numPr>
          <w:ilvl w:val="0"/>
          <w:numId w:val="1"/>
        </w:numPr>
        <w:suppressLineNumbers w:val="0"/>
        <w:ind w:left="420" w:leftChars="0" w:hanging="420" w:firstLineChars="0"/>
      </w:pPr>
      <w:r>
        <w:t>Scores élevés : plusieurs interactions + remplissage de formulaires</w:t>
      </w:r>
    </w:p>
    <w:p w14:paraId="6C51C421">
      <w:pPr>
        <w:pStyle w:val="4"/>
        <w:keepNext w:val="0"/>
        <w:keepLines w:val="0"/>
        <w:widowControl/>
        <w:numPr>
          <w:ilvl w:val="0"/>
          <w:numId w:val="1"/>
        </w:numPr>
        <w:suppressLineNumbers w:val="0"/>
        <w:ind w:left="420" w:leftChars="0" w:hanging="420" w:firstLineChars="0"/>
      </w:pPr>
      <w:r>
        <w:t>Scores moyens : une interaction significative (ex. : inscription webinaire)</w:t>
      </w:r>
    </w:p>
    <w:p w14:paraId="0CF1FD73">
      <w:pPr>
        <w:pStyle w:val="4"/>
        <w:keepNext w:val="0"/>
        <w:keepLines w:val="0"/>
        <w:widowControl/>
        <w:numPr>
          <w:ilvl w:val="0"/>
          <w:numId w:val="1"/>
        </w:numPr>
        <w:suppressLineNumbers w:val="0"/>
        <w:ind w:left="420" w:leftChars="0" w:hanging="420" w:firstLineChars="0"/>
      </w:pPr>
      <w:r>
        <w:t>Scores faibles : lecture de blog seulement</w:t>
      </w:r>
    </w:p>
    <w:p w14:paraId="4D94A501">
      <w:pPr>
        <w:pStyle w:val="4"/>
        <w:keepNext w:val="0"/>
        <w:keepLines w:val="0"/>
        <w:widowControl/>
        <w:suppressLineNumbers w:val="0"/>
      </w:pPr>
      <w:r>
        <w:t>Le scoring permet d’adapter les séquences de nurturing pour des suivis opportuns et pertinents.</w:t>
      </w:r>
    </w:p>
    <w:p w14:paraId="7756A28D">
      <w:pPr>
        <w:pStyle w:val="4"/>
        <w:keepNext w:val="0"/>
        <w:keepLines w:val="0"/>
        <w:widowControl/>
        <w:suppressLineNumbers w:val="0"/>
      </w:pPr>
      <w:r>
        <w:rPr>
          <w:rStyle w:val="5"/>
        </w:rPr>
        <w:t>5.2 Concevoir des Flows Email Orientés Intention</w:t>
      </w:r>
      <w:r>
        <w:br w:type="textWrapping"/>
      </w:r>
      <w:r>
        <w:t>Par exemple :</w:t>
      </w:r>
    </w:p>
    <w:p w14:paraId="2BA12F88">
      <w:pPr>
        <w:pStyle w:val="4"/>
        <w:keepNext w:val="0"/>
        <w:keepLines w:val="0"/>
        <w:widowControl/>
        <w:numPr>
          <w:ilvl w:val="0"/>
          <w:numId w:val="1"/>
        </w:numPr>
        <w:suppressLineNumbers w:val="0"/>
        <w:ind w:left="420" w:leftChars="0" w:hanging="420" w:firstLineChars="0"/>
      </w:pPr>
      <w:r>
        <w:t>Nouveau lead TOFU : Envoyer un contenu éducatif approfondi et inviter à un webinaire</w:t>
      </w:r>
    </w:p>
    <w:p w14:paraId="3482E739">
      <w:pPr>
        <w:pStyle w:val="4"/>
        <w:keepNext w:val="0"/>
        <w:keepLines w:val="0"/>
        <w:widowControl/>
        <w:numPr>
          <w:ilvl w:val="0"/>
          <w:numId w:val="1"/>
        </w:numPr>
        <w:suppressLineNumbers w:val="0"/>
        <w:ind w:left="420" w:leftChars="0" w:hanging="420" w:firstLineChars="0"/>
      </w:pPr>
      <w:r>
        <w:t>Lead en phase de Considération : Partager comparaisons, mini études de cas, vidéos produits</w:t>
      </w:r>
    </w:p>
    <w:p w14:paraId="596B89FC">
      <w:pPr>
        <w:pStyle w:val="4"/>
        <w:keepNext w:val="0"/>
        <w:keepLines w:val="0"/>
        <w:widowControl/>
        <w:numPr>
          <w:ilvl w:val="0"/>
          <w:numId w:val="1"/>
        </w:numPr>
        <w:suppressLineNumbers w:val="0"/>
        <w:ind w:left="420" w:leftChars="0" w:hanging="420" w:firstLineChars="0"/>
      </w:pPr>
      <w:r>
        <w:t>Lead BOFU : Invitations à des démos individuelles ou calculateurs ROI</w:t>
      </w:r>
    </w:p>
    <w:p w14:paraId="76F008A9">
      <w:pPr>
        <w:pStyle w:val="4"/>
        <w:keepNext w:val="0"/>
        <w:keepLines w:val="0"/>
        <w:widowControl/>
        <w:suppressLineNumbers w:val="0"/>
      </w:pPr>
      <w:r>
        <w:t>Chaque email doit proposer une prochaine étape claire, pas un générique “contactez-nous”.</w:t>
      </w:r>
    </w:p>
    <w:p w14:paraId="791CC867">
      <w:pPr>
        <w:keepNext w:val="0"/>
        <w:keepLines w:val="0"/>
        <w:widowControl/>
        <w:suppressLineNumbers w:val="0"/>
      </w:pPr>
    </w:p>
    <w:p w14:paraId="294D299F">
      <w:pPr>
        <w:pStyle w:val="4"/>
        <w:keepNext w:val="0"/>
        <w:keepLines w:val="0"/>
        <w:widowControl/>
        <w:suppressLineNumbers w:val="0"/>
      </w:pPr>
      <w:r>
        <w:rPr>
          <w:rStyle w:val="5"/>
        </w:rPr>
        <w:t>6. Utiliser des Appels à l’Action (CTA) Puissants et Bien Placés</w:t>
      </w:r>
      <w:r>
        <w:br w:type="textWrapping"/>
      </w:r>
      <w:r>
        <w:t>Un CTA efficace doit être :</w:t>
      </w:r>
    </w:p>
    <w:p w14:paraId="74946D87">
      <w:pPr>
        <w:pStyle w:val="4"/>
        <w:keepNext w:val="0"/>
        <w:keepLines w:val="0"/>
        <w:widowControl/>
        <w:numPr>
          <w:ilvl w:val="0"/>
          <w:numId w:val="1"/>
        </w:numPr>
        <w:suppressLineNumbers w:val="0"/>
        <w:ind w:left="420" w:leftChars="0" w:hanging="420" w:firstLineChars="0"/>
      </w:pPr>
      <w:r>
        <w:t>Orienté action et pertinent pour le contenu</w:t>
      </w:r>
    </w:p>
    <w:p w14:paraId="04A93811">
      <w:pPr>
        <w:pStyle w:val="4"/>
        <w:keepNext w:val="0"/>
        <w:keepLines w:val="0"/>
        <w:widowControl/>
        <w:numPr>
          <w:ilvl w:val="0"/>
          <w:numId w:val="1"/>
        </w:numPr>
        <w:suppressLineNumbers w:val="0"/>
        <w:ind w:left="420" w:leftChars="0" w:hanging="420" w:firstLineChars="0"/>
      </w:pPr>
      <w:r>
        <w:t>Visible mais non intrusif</w:t>
      </w:r>
    </w:p>
    <w:p w14:paraId="4A7ACA00">
      <w:pPr>
        <w:pStyle w:val="4"/>
        <w:keepNext w:val="0"/>
        <w:keepLines w:val="0"/>
        <w:widowControl/>
        <w:numPr>
          <w:ilvl w:val="0"/>
          <w:numId w:val="1"/>
        </w:numPr>
        <w:suppressLineNumbers w:val="0"/>
        <w:ind w:left="420" w:leftChars="0" w:hanging="420" w:firstLineChars="0"/>
      </w:pPr>
      <w:r>
        <w:t>Contextuellement aligné sur l’intention de l’utilisateur</w:t>
      </w:r>
    </w:p>
    <w:p w14:paraId="5FB2479E">
      <w:pPr>
        <w:pStyle w:val="4"/>
        <w:keepNext w:val="0"/>
        <w:keepLines w:val="0"/>
        <w:widowControl/>
        <w:suppressLineNumbers w:val="0"/>
      </w:pPr>
      <w:r>
        <w:t>Exemples :</w:t>
      </w:r>
    </w:p>
    <w:p w14:paraId="391EA113">
      <w:pPr>
        <w:pStyle w:val="4"/>
        <w:keepNext w:val="0"/>
        <w:keepLines w:val="0"/>
        <w:widowControl/>
        <w:numPr>
          <w:ilvl w:val="0"/>
          <w:numId w:val="1"/>
        </w:numPr>
        <w:suppressLineNumbers w:val="0"/>
        <w:ind w:left="420" w:leftChars="0" w:hanging="420" w:firstLineChars="0"/>
      </w:pPr>
      <w:r>
        <w:t>Contenu Conscience : “Téléchargez le rapport sur les tendances sectorielles”</w:t>
      </w:r>
    </w:p>
    <w:p w14:paraId="1507F366">
      <w:pPr>
        <w:pStyle w:val="4"/>
        <w:keepNext w:val="0"/>
        <w:keepLines w:val="0"/>
        <w:widowControl/>
        <w:numPr>
          <w:ilvl w:val="0"/>
          <w:numId w:val="1"/>
        </w:numPr>
        <w:suppressLineNumbers w:val="0"/>
        <w:ind w:left="420" w:leftChars="0" w:hanging="420" w:firstLineChars="0"/>
      </w:pPr>
      <w:r>
        <w:t>Contenu Considération : “Réservez votre place pour notre prochain webinaire”</w:t>
      </w:r>
    </w:p>
    <w:p w14:paraId="1684FD8A">
      <w:pPr>
        <w:pStyle w:val="4"/>
        <w:keepNext w:val="0"/>
        <w:keepLines w:val="0"/>
        <w:widowControl/>
        <w:numPr>
          <w:ilvl w:val="0"/>
          <w:numId w:val="1"/>
        </w:numPr>
        <w:suppressLineNumbers w:val="0"/>
        <w:ind w:left="420" w:leftChars="0" w:hanging="420" w:firstLineChars="0"/>
      </w:pPr>
      <w:r>
        <w:t>Contenu Décision : “Demandez une démo personnalisée”</w:t>
      </w:r>
    </w:p>
    <w:p w14:paraId="44978205">
      <w:pPr>
        <w:pStyle w:val="4"/>
        <w:keepNext w:val="0"/>
        <w:keepLines w:val="0"/>
        <w:widowControl/>
        <w:suppressLineNumbers w:val="0"/>
      </w:pPr>
      <w:r>
        <w:t>Le placement compte : un CTA au milieu du contenu surperforme souvent les placements en bas de page.</w:t>
      </w:r>
    </w:p>
    <w:p w14:paraId="6108B568">
      <w:pPr>
        <w:keepNext w:val="0"/>
        <w:keepLines w:val="0"/>
        <w:widowControl/>
        <w:suppressLineNumbers w:val="0"/>
      </w:pPr>
    </w:p>
    <w:p w14:paraId="4AFA4310">
      <w:pPr>
        <w:pStyle w:val="4"/>
        <w:keepNext w:val="0"/>
        <w:keepLines w:val="0"/>
        <w:widowControl/>
        <w:suppressLineNumbers w:val="0"/>
      </w:pPr>
      <w:r>
        <w:rPr>
          <w:rStyle w:val="5"/>
        </w:rPr>
        <w:t>7. Optimiser le Contenu avec SEO et Analyse de Données</w:t>
      </w:r>
    </w:p>
    <w:p w14:paraId="17347818">
      <w:pPr>
        <w:pStyle w:val="4"/>
        <w:keepNext w:val="0"/>
        <w:keepLines w:val="0"/>
        <w:widowControl/>
        <w:suppressLineNumbers w:val="0"/>
      </w:pPr>
      <w:r>
        <w:rPr>
          <w:rStyle w:val="5"/>
        </w:rPr>
        <w:t>7.1 Optimisation des Mots-Clés et Thèmes</w:t>
      </w:r>
      <w:r>
        <w:br w:type="textWrapping"/>
      </w:r>
      <w:r>
        <w:t>Utilisez la recherche de mots-clés et la cartographie de l’intention pour aligner les sujets sur ce que votre audience recherche réellement.</w:t>
      </w:r>
    </w:p>
    <w:p w14:paraId="364ED292">
      <w:pPr>
        <w:pStyle w:val="4"/>
        <w:keepNext w:val="0"/>
        <w:keepLines w:val="0"/>
        <w:widowControl/>
        <w:suppressLineNumbers w:val="0"/>
      </w:pPr>
      <w:r>
        <w:rPr>
          <w:rStyle w:val="5"/>
        </w:rPr>
        <w:t>7.2 Suivi de Performance</w:t>
      </w:r>
      <w:r>
        <w:br w:type="textWrapping"/>
      </w:r>
      <w:r>
        <w:t>Mesurez :</w:t>
      </w:r>
    </w:p>
    <w:p w14:paraId="562AEFB8">
      <w:pPr>
        <w:pStyle w:val="4"/>
        <w:keepNext w:val="0"/>
        <w:keepLines w:val="0"/>
        <w:widowControl/>
        <w:numPr>
          <w:ilvl w:val="0"/>
          <w:numId w:val="1"/>
        </w:numPr>
        <w:suppressLineNumbers w:val="0"/>
        <w:ind w:left="420" w:leftChars="0" w:hanging="420" w:firstLineChars="0"/>
      </w:pPr>
      <w:r>
        <w:t>Trafic organique et positionnement dans les recherches</w:t>
      </w:r>
    </w:p>
    <w:p w14:paraId="5B940666">
      <w:pPr>
        <w:pStyle w:val="4"/>
        <w:keepNext w:val="0"/>
        <w:keepLines w:val="0"/>
        <w:widowControl/>
        <w:numPr>
          <w:ilvl w:val="0"/>
          <w:numId w:val="1"/>
        </w:numPr>
        <w:suppressLineNumbers w:val="0"/>
        <w:ind w:left="420" w:leftChars="0" w:hanging="420" w:firstLineChars="0"/>
      </w:pPr>
      <w:r>
        <w:t>Taux de conversion par contenu</w:t>
      </w:r>
    </w:p>
    <w:p w14:paraId="6683DC19">
      <w:pPr>
        <w:pStyle w:val="4"/>
        <w:keepNext w:val="0"/>
        <w:keepLines w:val="0"/>
        <w:widowControl/>
        <w:numPr>
          <w:ilvl w:val="0"/>
          <w:numId w:val="1"/>
        </w:numPr>
        <w:suppressLineNumbers w:val="0"/>
        <w:ind w:left="420" w:leftChars="0" w:hanging="420" w:firstLineChars="0"/>
      </w:pPr>
      <w:r>
        <w:t>Metrics d’engagement (ex. : profondeur de défilement)</w:t>
      </w:r>
    </w:p>
    <w:p w14:paraId="670C4342">
      <w:pPr>
        <w:pStyle w:val="4"/>
        <w:keepNext w:val="0"/>
        <w:keepLines w:val="0"/>
        <w:widowControl/>
        <w:numPr>
          <w:ilvl w:val="0"/>
          <w:numId w:val="1"/>
        </w:numPr>
        <w:suppressLineNumbers w:val="0"/>
        <w:ind w:left="420" w:leftChars="0" w:hanging="420" w:firstLineChars="0"/>
      </w:pPr>
      <w:r>
        <w:t>Qualité des leads et influence sur le pipeline</w:t>
      </w:r>
    </w:p>
    <w:p w14:paraId="11C7FFA3">
      <w:pPr>
        <w:pStyle w:val="4"/>
        <w:keepNext w:val="0"/>
        <w:keepLines w:val="0"/>
        <w:widowControl/>
        <w:suppressLineNumbers w:val="0"/>
      </w:pPr>
      <w:r>
        <w:t>L’analyse permet d’ajuster les sujets, le timing et les formats pour améliorer l’efficacité des futurs contenus.</w:t>
      </w:r>
    </w:p>
    <w:p w14:paraId="1EA4B118">
      <w:pPr>
        <w:keepNext w:val="0"/>
        <w:keepLines w:val="0"/>
        <w:widowControl/>
        <w:suppressLineNumbers w:val="0"/>
      </w:pPr>
    </w:p>
    <w:p w14:paraId="40C57B21">
      <w:pPr>
        <w:pStyle w:val="4"/>
        <w:keepNext w:val="0"/>
        <w:keepLines w:val="0"/>
        <w:widowControl/>
        <w:suppressLineNumbers w:val="0"/>
      </w:pPr>
      <w:r>
        <w:rPr>
          <w:rStyle w:val="5"/>
        </w:rPr>
        <w:t>8. Distribuer le Contenu sur les Canaux Actifs pour les Acheteurs</w:t>
      </w:r>
      <w:r>
        <w:br w:type="textWrapping"/>
      </w:r>
      <w:r>
        <w:t>Un contenu ne convertit pas si les bonnes personnes ne le voient pas.</w:t>
      </w:r>
      <w:r>
        <w:br w:type="textWrapping"/>
      </w:r>
      <w:r>
        <w:t>Canaux recommandés :</w:t>
      </w:r>
    </w:p>
    <w:p w14:paraId="22D86B2B">
      <w:pPr>
        <w:pStyle w:val="4"/>
        <w:keepNext w:val="0"/>
        <w:keepLines w:val="0"/>
        <w:widowControl/>
        <w:numPr>
          <w:ilvl w:val="0"/>
          <w:numId w:val="1"/>
        </w:numPr>
        <w:suppressLineNumbers w:val="0"/>
        <w:ind w:left="420" w:leftChars="0" w:hanging="420" w:firstLineChars="0"/>
      </w:pPr>
      <w:r>
        <w:t>LinkedIn  professionnels B2B et décideurs</w:t>
      </w:r>
    </w:p>
    <w:p w14:paraId="261D085E">
      <w:pPr>
        <w:pStyle w:val="4"/>
        <w:keepNext w:val="0"/>
        <w:keepLines w:val="0"/>
        <w:widowControl/>
        <w:numPr>
          <w:ilvl w:val="0"/>
          <w:numId w:val="1"/>
        </w:numPr>
        <w:suppressLineNumbers w:val="0"/>
        <w:ind w:left="420" w:leftChars="0" w:hanging="420" w:firstLineChars="0"/>
      </w:pPr>
      <w:r>
        <w:t>Forums et communautés sectorielles</w:t>
      </w:r>
    </w:p>
    <w:p w14:paraId="1CF86C55">
      <w:pPr>
        <w:pStyle w:val="4"/>
        <w:keepNext w:val="0"/>
        <w:keepLines w:val="0"/>
        <w:widowControl/>
        <w:numPr>
          <w:ilvl w:val="0"/>
          <w:numId w:val="1"/>
        </w:numPr>
        <w:suppressLineNumbers w:val="0"/>
        <w:ind w:left="420" w:leftChars="0" w:hanging="420" w:firstLineChars="0"/>
      </w:pPr>
      <w:r>
        <w:t>Newsletters par email</w:t>
      </w:r>
    </w:p>
    <w:p w14:paraId="212E6152">
      <w:pPr>
        <w:pStyle w:val="4"/>
        <w:keepNext w:val="0"/>
        <w:keepLines w:val="0"/>
        <w:widowControl/>
        <w:numPr>
          <w:ilvl w:val="0"/>
          <w:numId w:val="1"/>
        </w:numPr>
        <w:suppressLineNumbers w:val="0"/>
        <w:ind w:left="420" w:leftChars="0" w:hanging="420" w:firstLineChars="0"/>
      </w:pPr>
      <w:r>
        <w:t>Webinaires et événements virtuels</w:t>
      </w:r>
    </w:p>
    <w:p w14:paraId="4A6CC575">
      <w:pPr>
        <w:pStyle w:val="4"/>
        <w:keepNext w:val="0"/>
        <w:keepLines w:val="0"/>
        <w:widowControl/>
        <w:numPr>
          <w:ilvl w:val="0"/>
          <w:numId w:val="1"/>
        </w:numPr>
        <w:suppressLineNumbers w:val="0"/>
        <w:ind w:left="420" w:leftChars="0" w:hanging="420" w:firstLineChars="0"/>
      </w:pPr>
      <w:r>
        <w:t>Partenaires de syndication de contenu</w:t>
      </w:r>
    </w:p>
    <w:p w14:paraId="168982D1">
      <w:pPr>
        <w:pStyle w:val="4"/>
        <w:keepNext w:val="0"/>
        <w:keepLines w:val="0"/>
        <w:widowControl/>
        <w:suppressLineNumbers w:val="0"/>
      </w:pPr>
      <w:r>
        <w:t>La distribution multi-canaux amplifie la portée, renforce le message et augmente les opportunités de conversion.</w:t>
      </w:r>
    </w:p>
    <w:p w14:paraId="674796D4">
      <w:pPr>
        <w:keepNext w:val="0"/>
        <w:keepLines w:val="0"/>
        <w:widowControl/>
        <w:suppressLineNumbers w:val="0"/>
      </w:pPr>
    </w:p>
    <w:p w14:paraId="24A9DE62">
      <w:pPr>
        <w:pStyle w:val="4"/>
        <w:keepNext w:val="0"/>
        <w:keepLines w:val="0"/>
        <w:widowControl/>
        <w:suppressLineNumbers w:val="0"/>
      </w:pPr>
      <w:r>
        <w:rPr>
          <w:rStyle w:val="5"/>
        </w:rPr>
        <w:t>9. Utiliser Preuve Sociale et Cas Concrets pour Réduire la Friction</w:t>
      </w:r>
      <w:r>
        <w:br w:type="textWrapping"/>
      </w:r>
      <w:r>
        <w:t>Les acheteurs B2B sont sceptiques et recherchent des preuves sociales :</w:t>
      </w:r>
    </w:p>
    <w:p w14:paraId="7A80652B">
      <w:pPr>
        <w:pStyle w:val="4"/>
        <w:keepNext w:val="0"/>
        <w:keepLines w:val="0"/>
        <w:widowControl/>
        <w:numPr>
          <w:ilvl w:val="0"/>
          <w:numId w:val="1"/>
        </w:numPr>
        <w:suppressLineNumbers w:val="0"/>
        <w:ind w:left="420" w:leftChars="0" w:hanging="420" w:firstLineChars="0"/>
      </w:pPr>
      <w:r>
        <w:t>Témoignages clients</w:t>
      </w:r>
    </w:p>
    <w:p w14:paraId="5294910E">
      <w:pPr>
        <w:pStyle w:val="4"/>
        <w:keepNext w:val="0"/>
        <w:keepLines w:val="0"/>
        <w:widowControl/>
        <w:numPr>
          <w:ilvl w:val="0"/>
          <w:numId w:val="1"/>
        </w:numPr>
        <w:suppressLineNumbers w:val="0"/>
        <w:ind w:left="420" w:leftChars="0" w:hanging="420" w:firstLineChars="0"/>
      </w:pPr>
      <w:r>
        <w:t>Études de cas avec résultats quantifiables</w:t>
      </w:r>
    </w:p>
    <w:p w14:paraId="6C95B586">
      <w:pPr>
        <w:pStyle w:val="4"/>
        <w:keepNext w:val="0"/>
        <w:keepLines w:val="0"/>
        <w:widowControl/>
        <w:numPr>
          <w:ilvl w:val="0"/>
          <w:numId w:val="1"/>
        </w:numPr>
        <w:suppressLineNumbers w:val="0"/>
        <w:ind w:left="420" w:leftChars="0" w:hanging="420" w:firstLineChars="0"/>
      </w:pPr>
      <w:r>
        <w:t>Endorsements sectoriels</w:t>
      </w:r>
    </w:p>
    <w:p w14:paraId="47808857">
      <w:pPr>
        <w:pStyle w:val="4"/>
        <w:keepNext w:val="0"/>
        <w:keepLines w:val="0"/>
        <w:widowControl/>
        <w:suppressLineNumbers w:val="0"/>
      </w:pPr>
      <w:r>
        <w:t>Ces éléments réduisent le risque perçu et renforcent la confiance dans la conversion.</w:t>
      </w:r>
    </w:p>
    <w:p w14:paraId="065CE4AB">
      <w:pPr>
        <w:keepNext w:val="0"/>
        <w:keepLines w:val="0"/>
        <w:widowControl/>
        <w:suppressLineNumbers w:val="0"/>
      </w:pPr>
    </w:p>
    <w:p w14:paraId="3B32A657">
      <w:pPr>
        <w:pStyle w:val="4"/>
        <w:keepNext w:val="0"/>
        <w:keepLines w:val="0"/>
        <w:widowControl/>
        <w:suppressLineNumbers w:val="0"/>
      </w:pPr>
      <w:r>
        <w:rPr>
          <w:rStyle w:val="5"/>
        </w:rPr>
        <w:t>10. Tester et Optimiser en Continu</w:t>
      </w:r>
      <w:r>
        <w:br w:type="textWrapping"/>
      </w:r>
      <w:r>
        <w:t>Même le meilleur contenu peut s’améliorer :</w:t>
      </w:r>
    </w:p>
    <w:p w14:paraId="4468425E">
      <w:pPr>
        <w:pStyle w:val="4"/>
        <w:keepNext w:val="0"/>
        <w:keepLines w:val="0"/>
        <w:widowControl/>
        <w:numPr>
          <w:ilvl w:val="0"/>
          <w:numId w:val="1"/>
        </w:numPr>
        <w:suppressLineNumbers w:val="0"/>
        <w:ind w:left="420" w:leftChars="0" w:hanging="420" w:firstLineChars="0"/>
      </w:pPr>
      <w:r>
        <w:t>Tests A/B sur titres, visuels, CTA et landing pages</w:t>
      </w:r>
    </w:p>
    <w:p w14:paraId="5F049932">
      <w:pPr>
        <w:pStyle w:val="4"/>
        <w:keepNext w:val="0"/>
        <w:keepLines w:val="0"/>
        <w:widowControl/>
        <w:numPr>
          <w:ilvl w:val="0"/>
          <w:numId w:val="1"/>
        </w:numPr>
        <w:suppressLineNumbers w:val="0"/>
        <w:ind w:left="420" w:leftChars="0" w:hanging="420" w:firstLineChars="0"/>
      </w:pPr>
      <w:r>
        <w:t>Heatmaps pour comprendre l’interaction des lecteurs</w:t>
      </w:r>
    </w:p>
    <w:p w14:paraId="67B6EFD3">
      <w:pPr>
        <w:pStyle w:val="4"/>
        <w:keepNext w:val="0"/>
        <w:keepLines w:val="0"/>
        <w:widowControl/>
        <w:numPr>
          <w:ilvl w:val="0"/>
          <w:numId w:val="1"/>
        </w:numPr>
        <w:suppressLineNumbers w:val="0"/>
        <w:ind w:left="420" w:leftChars="0" w:hanging="420" w:firstLineChars="0"/>
      </w:pPr>
      <w:r>
        <w:t>Analyse de conversion pour identifier les points de chute</w:t>
      </w:r>
    </w:p>
    <w:p w14:paraId="6ABC529E">
      <w:pPr>
        <w:pStyle w:val="4"/>
        <w:keepNext w:val="0"/>
        <w:keepLines w:val="0"/>
        <w:widowControl/>
        <w:suppressLineNumbers w:val="0"/>
      </w:pPr>
      <w:r>
        <w:t>L’itération basée sur les données, et non sur l’intuition, assure une efficacité croissante du marketing de contenu.</w:t>
      </w:r>
    </w:p>
    <w:p w14:paraId="6606962B">
      <w:pPr>
        <w:keepNext w:val="0"/>
        <w:keepLines w:val="0"/>
        <w:widowControl/>
        <w:suppressLineNumbers w:val="0"/>
      </w:pPr>
    </w:p>
    <w:p w14:paraId="120AF06E">
      <w:pPr>
        <w:pStyle w:val="4"/>
        <w:keepNext w:val="0"/>
        <w:keepLines w:val="0"/>
        <w:widowControl/>
        <w:suppressLineNumbers w:val="0"/>
      </w:pPr>
      <w:r>
        <w:rPr>
          <w:rStyle w:val="5"/>
        </w:rPr>
        <w:t>Conclusion : Transformer le Contenu en Moteur de Génération de Leads</w:t>
      </w:r>
      <w:r>
        <w:br w:type="textWrapping"/>
      </w:r>
      <w:r>
        <w:t>Une stratégie de contenu qui convertit repose sur :</w:t>
      </w:r>
    </w:p>
    <w:p w14:paraId="38AFF769">
      <w:pPr>
        <w:pStyle w:val="4"/>
        <w:keepNext w:val="0"/>
        <w:keepLines w:val="0"/>
        <w:widowControl/>
        <w:numPr>
          <w:ilvl w:val="0"/>
          <w:numId w:val="1"/>
        </w:numPr>
        <w:suppressLineNumbers w:val="0"/>
        <w:ind w:left="420" w:leftChars="0" w:hanging="420" w:firstLineChars="0"/>
      </w:pPr>
      <w:r>
        <w:t>Objectifs mesurables alignés aux résultats business</w:t>
      </w:r>
    </w:p>
    <w:p w14:paraId="7FF2EBFF">
      <w:pPr>
        <w:pStyle w:val="4"/>
        <w:keepNext w:val="0"/>
        <w:keepLines w:val="0"/>
        <w:widowControl/>
        <w:numPr>
          <w:ilvl w:val="0"/>
          <w:numId w:val="1"/>
        </w:numPr>
        <w:suppressLineNumbers w:val="0"/>
        <w:ind w:left="420" w:leftChars="0" w:hanging="420" w:firstLineChars="0"/>
      </w:pPr>
      <w:r>
        <w:t>Mapping du contenu selon le parcours d’achat</w:t>
      </w:r>
    </w:p>
    <w:p w14:paraId="3D1D9D5C">
      <w:pPr>
        <w:pStyle w:val="4"/>
        <w:keepNext w:val="0"/>
        <w:keepLines w:val="0"/>
        <w:widowControl/>
        <w:numPr>
          <w:ilvl w:val="0"/>
          <w:numId w:val="1"/>
        </w:numPr>
        <w:suppressLineNumbers w:val="0"/>
        <w:ind w:left="420" w:leftChars="0" w:hanging="420" w:firstLineChars="0"/>
      </w:pPr>
      <w:r>
        <w:t>Personnalisation basée sur les données</w:t>
      </w:r>
    </w:p>
    <w:p w14:paraId="39CBEA18">
      <w:pPr>
        <w:pStyle w:val="4"/>
        <w:keepNext w:val="0"/>
        <w:keepLines w:val="0"/>
        <w:widowControl/>
        <w:numPr>
          <w:ilvl w:val="0"/>
          <w:numId w:val="1"/>
        </w:numPr>
        <w:suppressLineNumbers w:val="0"/>
        <w:ind w:left="420" w:leftChars="0" w:hanging="420" w:firstLineChars="0"/>
      </w:pPr>
      <w:r>
        <w:t>Nurturing contextuel et séquencé</w:t>
      </w:r>
    </w:p>
    <w:p w14:paraId="6A77FCF0">
      <w:pPr>
        <w:pStyle w:val="4"/>
        <w:keepNext w:val="0"/>
        <w:keepLines w:val="0"/>
        <w:widowControl/>
        <w:numPr>
          <w:ilvl w:val="0"/>
          <w:numId w:val="1"/>
        </w:numPr>
        <w:suppressLineNumbers w:val="0"/>
        <w:ind w:left="420" w:leftChars="0" w:hanging="420" w:firstLineChars="0"/>
      </w:pPr>
      <w:r>
        <w:t>Suivi de performance et optimisation</w:t>
      </w:r>
    </w:p>
    <w:p w14:paraId="46D79D87">
      <w:pPr>
        <w:pStyle w:val="4"/>
        <w:keepNext w:val="0"/>
        <w:keepLines w:val="0"/>
        <w:widowControl/>
        <w:suppressLineNumbers w:val="0"/>
      </w:pPr>
      <w:r>
        <w:t xml:space="preserve">Lorsqu’un contenu devient un moteur systématique et mesurable </w:t>
      </w:r>
      <w:r>
        <w:rPr>
          <w:rFonts w:hint="default"/>
          <w:lang w:val="en-US"/>
        </w:rPr>
        <w:t xml:space="preserve"> </w:t>
      </w:r>
      <w:r>
        <w:t xml:space="preserve"> et non un simple calendrier de publication </w:t>
      </w:r>
      <w:r>
        <w:rPr>
          <w:rFonts w:hint="default"/>
          <w:lang w:val="en-US"/>
        </w:rPr>
        <w:t xml:space="preserve"> </w:t>
      </w:r>
      <w:r>
        <w:t xml:space="preserve"> il passe d’optionnel à un véritable levier de revenus.</w:t>
      </w:r>
    </w:p>
    <w:p w14:paraId="193ED0D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16E753"/>
    <w:multiLevelType w:val="singleLevel"/>
    <w:tmpl w:val="CD16E7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5F53D1"/>
    <w:rsid w:val="5E9E5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2026-01-10T23:47:00Z</dcterms:created>
  <dc:creator>Admin</dc:creator>
  <cp:lastModifiedBy>Admin</cp:lastModifiedBy>
  <dcterms:modified xsi:type="dcterms:W3CDTF">2026-01-11T00:22:09Z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A942EE860C384E4AA2150081AB618741_12</vt:lpwstr>
  </property>
</Properties>
</file>