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DCF3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Organization:</w:t>
      </w:r>
      <w:r>
        <w:t xml:space="preserve"> Dialogue for Change Initiative</w:t>
      </w:r>
      <w:r>
        <w:rPr>
          <w:rFonts w:hint="default"/>
          <w:lang w:val="en-US"/>
        </w:rPr>
        <w:t>(DiCI)</w:t>
      </w:r>
      <w:r>
        <w:br w:type="textWrapping"/>
      </w:r>
      <w:r>
        <w:rPr>
          <w:rStyle w:val="6"/>
        </w:rPr>
        <w:t>Grant Type:</w:t>
      </w:r>
      <w:r>
        <w:t xml:space="preserve"> Nonprofit Program Development Grant</w:t>
      </w:r>
      <w:r>
        <w:br w:type="textWrapping"/>
      </w:r>
      <w:r>
        <w:rPr>
          <w:rStyle w:val="6"/>
        </w:rPr>
        <w:t>Funder:</w:t>
      </w:r>
      <w:r>
        <w:t xml:space="preserve"> Civic Engagement Fund</w:t>
      </w:r>
    </w:p>
    <w:p w14:paraId="517C2D3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Project Title:</w:t>
      </w:r>
      <w:r>
        <w:t xml:space="preserve"> “Campus Dialogue &amp; Pluralism Program”</w:t>
      </w:r>
    </w:p>
    <w:p w14:paraId="3FE6375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Executive Summary:</w:t>
      </w:r>
      <w:r>
        <w:br w:type="textWrapping"/>
      </w:r>
      <w:r>
        <w:t>Dialogue for Change Initiative requests $80,000 to implement campus dialogue programs for 12 colleges, reaching 1,200 students to strengthen civic engagement, critical thinking, and pluralism by December 2025.</w:t>
      </w:r>
    </w:p>
    <w:p w14:paraId="0884150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Goals &amp; Objectives:</w:t>
      </w:r>
    </w:p>
    <w:p w14:paraId="2904F91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Facilitate 12 campus dialogue workshops for 1,200 students.</w:t>
      </w:r>
    </w:p>
    <w:p w14:paraId="21FC321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Train 24 student facilitators in mediation and discussion techniques.</w:t>
      </w:r>
    </w:p>
    <w:p w14:paraId="350977B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Create evaluation metrics to assess impact on student attitudes toward pluralism.</w:t>
      </w:r>
    </w:p>
    <w:p w14:paraId="7B2E26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01C25F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Program Narrative:</w:t>
      </w:r>
      <w:r>
        <w:br w:type="textWrapping"/>
      </w:r>
      <w:r>
        <w:t>The program provides interactive workshops and mentoring on constructive dialogue. Facilitators guide discussions on civic engagement and cross-cultural understanding. Evidence-based assessments track growth in critical thinking and collaboration skills.</w:t>
      </w:r>
    </w:p>
    <w:p w14:paraId="77E5BAC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Budget Summary:</w:t>
      </w:r>
    </w:p>
    <w:p w14:paraId="29A8C0E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Personnel &amp; Trainer Fees: $40,000</w:t>
      </w:r>
    </w:p>
    <w:p w14:paraId="23BC99C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Program Materials &amp; Curriculum: $20,000</w:t>
      </w:r>
    </w:p>
    <w:p w14:paraId="6D1B9C9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Workshops &amp; Travel: $10,000</w:t>
      </w:r>
    </w:p>
    <w:p w14:paraId="24CD9AA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Evaluation &amp; Reporting: $10,000</w:t>
      </w:r>
    </w:p>
    <w:p w14:paraId="3F8A18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4B8794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Evaluation &amp; Reporting:</w:t>
      </w:r>
    </w:p>
    <w:p w14:paraId="534788D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Surveys and focus groups to measure attitude change</w:t>
      </w:r>
    </w:p>
    <w:p w14:paraId="7F71CBF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Workshop attendance</w:t>
      </w:r>
      <w:bookmarkStart w:id="0" w:name="_GoBack"/>
      <w:bookmarkEnd w:id="0"/>
      <w:r>
        <w:t xml:space="preserve"> tracking</w:t>
      </w:r>
    </w:p>
    <w:p w14:paraId="6F5D91D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Student facilitator performance assessment</w:t>
      </w:r>
    </w:p>
    <w:p w14:paraId="687090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F74482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Sustainability:</w:t>
      </w:r>
    </w:p>
    <w:p w14:paraId="1FD42AE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Trained facilitators continue workshops in subsequent semesters.</w:t>
      </w:r>
    </w:p>
    <w:p w14:paraId="122293B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Colleges integrate the program into student life curricula for long-term impact.</w:t>
      </w:r>
    </w:p>
    <w:p w14:paraId="176160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F2017C"/>
    <w:multiLevelType w:val="singleLevel"/>
    <w:tmpl w:val="26F201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4BC0A99"/>
    <w:multiLevelType w:val="singleLevel"/>
    <w:tmpl w:val="64BC0A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0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2026-01-14T23:38:57Z</dcterms:created>
  <dc:creator>Admin</dc:creator>
  <cp:lastModifiedBy>Admin</cp:lastModifiedBy>
  <dcterms:modified xsi:type="dcterms:W3CDTF">2026-01-14T23:41:09Z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73B1AFB2A4DE460588473900D8F7DEA1_12</vt:lpwstr>
  </property>
</Properties>
</file>