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FD97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Organization:</w:t>
      </w:r>
      <w:r>
        <w:t xml:space="preserve"> Literacy Forward</w:t>
      </w:r>
      <w:r>
        <w:rPr>
          <w:rFonts w:hint="default"/>
          <w:lang w:val="en-US"/>
        </w:rPr>
        <w:t>(LiF)</w:t>
      </w:r>
      <w:r>
        <w:br w:type="textWrapping"/>
      </w:r>
      <w:r>
        <w:rPr>
          <w:rStyle w:val="6"/>
        </w:rPr>
        <w:t>Grant Type:</w:t>
      </w:r>
      <w:r>
        <w:t xml:space="preserve"> Capacity-Building Grant</w:t>
      </w:r>
      <w:r>
        <w:br w:type="textWrapping"/>
      </w:r>
      <w:r>
        <w:rPr>
          <w:rStyle w:val="6"/>
        </w:rPr>
        <w:t>Funder:</w:t>
      </w:r>
      <w:r>
        <w:t xml:space="preserve"> Education for All Foundation</w:t>
      </w:r>
    </w:p>
    <w:p w14:paraId="2E168E9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Project Title:</w:t>
      </w:r>
      <w:r>
        <w:t xml:space="preserve"> “Digital Literacy Expansion in Rural Schools”</w:t>
      </w:r>
    </w:p>
    <w:p w14:paraId="52A6A4F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Executive Summary:</w:t>
      </w:r>
      <w:r>
        <w:br w:type="textWrapping"/>
      </w:r>
      <w:r>
        <w:t>Literacy Forward seeks $90,000 to provide digital literacy training, tablets, and curriculum to 15 rural schools, impacti</w:t>
      </w:r>
      <w:bookmarkStart w:id="0" w:name="_GoBack"/>
      <w:bookmarkEnd w:id="0"/>
      <w:r>
        <w:t>ng 1,500 students over two academic years.</w:t>
      </w:r>
    </w:p>
    <w:p w14:paraId="5A23A6D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Goals &amp; Objectives:</w:t>
      </w:r>
    </w:p>
    <w:p w14:paraId="65A4348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Equip 1,500 students with basic digital skills by June 2025.</w:t>
      </w:r>
    </w:p>
    <w:p w14:paraId="18AE16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Train 50 teachers in digital literacy and curriculum integration.</w:t>
      </w:r>
    </w:p>
    <w:p w14:paraId="494B642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Develop online educational resources accessible to rural communities.</w:t>
      </w:r>
    </w:p>
    <w:p w14:paraId="5BE2BD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510FD7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Program Narrative:</w:t>
      </w:r>
      <w:r>
        <w:br w:type="textWrapping"/>
      </w:r>
      <w:r>
        <w:t>The initiative addresses the digital divide by providing tools, teacher training, and student resources. Curriculum focuses on practical skills, internet safety, and project-based learning.</w:t>
      </w:r>
    </w:p>
    <w:p w14:paraId="1FB044B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Budget Summary:</w:t>
      </w:r>
    </w:p>
    <w:p w14:paraId="0B5EF53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Hardware &amp; Devices: $40,000</w:t>
      </w:r>
    </w:p>
    <w:p w14:paraId="3185AB2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Training &amp; Professional Development: $25,000</w:t>
      </w:r>
    </w:p>
    <w:p w14:paraId="00D2C62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Curriculum Development: $15,000</w:t>
      </w:r>
    </w:p>
    <w:p w14:paraId="7AC8D62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Administration &amp; Reporting: $10,000</w:t>
      </w:r>
    </w:p>
    <w:p w14:paraId="013692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7B9B1E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Evaluation &amp; Reporting:</w:t>
      </w:r>
    </w:p>
    <w:p w14:paraId="4EADCB6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Pre- and post-assessments of digital skills</w:t>
      </w:r>
    </w:p>
    <w:p w14:paraId="7E6BC8F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Teacher feedback and classroom observation</w:t>
      </w:r>
    </w:p>
    <w:p w14:paraId="119F13A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Student project portfolios</w:t>
      </w:r>
    </w:p>
    <w:p w14:paraId="208AE3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4CEC65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Sustainability:</w:t>
      </w:r>
    </w:p>
    <w:p w14:paraId="173FD7D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Schools receive continued access to online resources.</w:t>
      </w:r>
    </w:p>
    <w:p w14:paraId="14CE817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Local education authorities adopt the curriculum for long-term integration.</w:t>
      </w:r>
    </w:p>
    <w:p w14:paraId="36AE00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28F9F6"/>
    <w:multiLevelType w:val="singleLevel"/>
    <w:tmpl w:val="F228F9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73E2D4E"/>
    <w:multiLevelType w:val="singleLevel"/>
    <w:tmpl w:val="773E2D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501C8"/>
    <w:rsid w:val="5416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2026-01-14T23:29:43Z</dcterms:created>
  <dc:creator>Admin</dc:creator>
  <cp:lastModifiedBy>Admin</cp:lastModifiedBy>
  <dcterms:modified xsi:type="dcterms:W3CDTF">2026-01-14T23:33:31Z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0B1FE501F5354F81804F45E879E98509_12</vt:lpwstr>
  </property>
</Properties>
</file>