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18A31" w14:textId="77777777" w:rsidR="00B55091" w:rsidRDefault="00B55091" w:rsidP="00B55091">
      <w:pPr>
        <w:rPr>
          <w:b/>
          <w:color w:val="1F3864"/>
          <w:sz w:val="36"/>
        </w:rPr>
      </w:pPr>
      <w:r>
        <w:rPr>
          <w:b/>
          <w:color w:val="1F3864"/>
          <w:sz w:val="36"/>
        </w:rPr>
        <w:t>Relative Valuation Analysis</w:t>
      </w:r>
    </w:p>
    <w:p w14:paraId="1D6B1929" w14:textId="77777777" w:rsidR="00A01974" w:rsidRPr="00A01974" w:rsidRDefault="00A01974" w:rsidP="00A01974">
      <w:pPr>
        <w:pStyle w:val="ds-markdown-paragraph"/>
        <w:rPr>
          <w:color w:val="FF0000"/>
        </w:rPr>
      </w:pPr>
      <w:r w:rsidRPr="00A01974">
        <w:rPr>
          <w:rStyle w:val="Strong"/>
          <w:rFonts w:eastAsiaTheme="majorEastAsia"/>
          <w:color w:val="FF0000"/>
        </w:rPr>
        <w:t>Disclaimer</w:t>
      </w:r>
    </w:p>
    <w:p w14:paraId="30B0FB29" w14:textId="77777777" w:rsidR="00A01974" w:rsidRDefault="00A01974" w:rsidP="00A01974">
      <w:pPr>
        <w:pStyle w:val="ds-markdown-paragraph"/>
      </w:pPr>
      <w:r>
        <w:t xml:space="preserve">The analysis, opinions, and conclusions presented in this report are solely those of the author and are based on publicly available information. This project was completed as part of a self-directed learning exercise and </w:t>
      </w:r>
      <w:r>
        <w:rPr>
          <w:rStyle w:val="Strong"/>
          <w:rFonts w:eastAsiaTheme="majorEastAsia"/>
        </w:rPr>
        <w:t>should not be interpreted as financial advice</w:t>
      </w:r>
      <w:r>
        <w:t>.</w:t>
      </w:r>
    </w:p>
    <w:p w14:paraId="10A00F64" w14:textId="77777777" w:rsidR="00A01974" w:rsidRDefault="00A01974" w:rsidP="00A01974">
      <w:pPr>
        <w:pStyle w:val="ds-markdown-paragraph"/>
      </w:pPr>
      <w:r>
        <w:t>The author is not a licensed financial advisor and does not guarantee the accuracy, completeness, or timeliness of the data. Readers are advised to conduct their own research and consult with a qualified professional before making any investment decisions.</w:t>
      </w:r>
    </w:p>
    <w:p w14:paraId="3D580E65" w14:textId="77777777" w:rsidR="00A01974" w:rsidRDefault="00A01974" w:rsidP="00B55091">
      <w:pPr>
        <w:rPr>
          <w:b/>
          <w:color w:val="1F3864"/>
          <w:sz w:val="36"/>
        </w:rPr>
      </w:pPr>
    </w:p>
    <w:p w14:paraId="7789597F" w14:textId="6B3B46C9" w:rsidR="00B55091" w:rsidRPr="00B55091" w:rsidRDefault="00B55091" w:rsidP="00B55091">
      <w:pPr>
        <w:spacing w:after="40"/>
        <w:rPr>
          <w:b/>
          <w:color w:val="404040"/>
        </w:rPr>
      </w:pPr>
      <w:r w:rsidRPr="00B55091">
        <w:rPr>
          <w:b/>
          <w:color w:val="404040"/>
        </w:rPr>
        <w:t>Walmart Inc. (WMT)</w:t>
      </w:r>
    </w:p>
    <w:p w14:paraId="097E4FEA" w14:textId="3B0B1BFD" w:rsidR="00B55091" w:rsidRPr="00B55091" w:rsidRDefault="00B55091" w:rsidP="00B55091">
      <w:pPr>
        <w:spacing w:after="40"/>
        <w:rPr>
          <w:b/>
          <w:color w:val="404040"/>
        </w:rPr>
      </w:pPr>
      <w:r w:rsidRPr="00B55091">
        <w:rPr>
          <w:b/>
          <w:color w:val="404040"/>
        </w:rPr>
        <w:t xml:space="preserve">TO: </w:t>
      </w:r>
      <w:r>
        <w:rPr>
          <w:b/>
          <w:color w:val="404040"/>
        </w:rPr>
        <w:t>Anyone Interested</w:t>
      </w:r>
    </w:p>
    <w:p w14:paraId="12B0446F" w14:textId="70F4AE15" w:rsidR="00B55091" w:rsidRPr="00B55091" w:rsidRDefault="00B55091" w:rsidP="00B55091">
      <w:pPr>
        <w:spacing w:after="40"/>
        <w:rPr>
          <w:b/>
          <w:color w:val="404040"/>
        </w:rPr>
      </w:pPr>
      <w:r w:rsidRPr="00B55091">
        <w:rPr>
          <w:b/>
          <w:color w:val="404040"/>
        </w:rPr>
        <w:t>FROM: [</w:t>
      </w:r>
      <w:r w:rsidR="00B21AFF">
        <w:rPr>
          <w:b/>
          <w:color w:val="404040"/>
        </w:rPr>
        <w:t>Nima Ebrahimi</w:t>
      </w:r>
      <w:r w:rsidRPr="00B55091">
        <w:rPr>
          <w:b/>
          <w:color w:val="404040"/>
        </w:rPr>
        <w:t>]</w:t>
      </w:r>
    </w:p>
    <w:p w14:paraId="16F3006C" w14:textId="2D2D8D10" w:rsidR="00B55091" w:rsidRPr="00B55091" w:rsidRDefault="00B55091" w:rsidP="00B55091">
      <w:pPr>
        <w:spacing w:after="40"/>
        <w:rPr>
          <w:b/>
          <w:color w:val="404040"/>
        </w:rPr>
      </w:pPr>
      <w:r w:rsidRPr="00B55091">
        <w:rPr>
          <w:b/>
          <w:color w:val="404040"/>
        </w:rPr>
        <w:t>DATE: August 8, 2026</w:t>
      </w:r>
    </w:p>
    <w:p w14:paraId="28C2308A" w14:textId="25E10218" w:rsidR="00B55091" w:rsidRPr="00B55091" w:rsidRDefault="00B55091" w:rsidP="00B55091">
      <w:pPr>
        <w:pStyle w:val="ListParagraph"/>
        <w:numPr>
          <w:ilvl w:val="0"/>
          <w:numId w:val="2"/>
        </w:numPr>
        <w:spacing w:after="240"/>
      </w:pPr>
      <w:r w:rsidRPr="00B55091">
        <w:rPr>
          <w:b/>
          <w:color w:val="1F3864"/>
        </w:rPr>
        <w:t>Executive Summary</w:t>
      </w:r>
    </w:p>
    <w:p w14:paraId="12D3AA8B" w14:textId="6A2DF295" w:rsidR="00B55091" w:rsidRPr="00B55091" w:rsidRDefault="00B55091" w:rsidP="00B55091">
      <w:pPr>
        <w:pStyle w:val="ListParagraph"/>
        <w:numPr>
          <w:ilvl w:val="0"/>
          <w:numId w:val="2"/>
        </w:numPr>
        <w:spacing w:after="240"/>
      </w:pPr>
      <w:r w:rsidRPr="00B55091">
        <w:rPr>
          <w:b/>
        </w:rPr>
        <w:t xml:space="preserve">Verdict: </w:t>
      </w:r>
      <w:r w:rsidRPr="00B55091">
        <w:rPr>
          <w:b/>
          <w:color w:val="C00000"/>
        </w:rPr>
        <w:t>Overvalued</w:t>
      </w:r>
    </w:p>
    <w:p w14:paraId="0A35D64F" w14:textId="3EC1C6A0" w:rsidR="00B55091" w:rsidRPr="00B55091" w:rsidRDefault="00B55091" w:rsidP="00B55091">
      <w:pPr>
        <w:pStyle w:val="ListParagraph"/>
        <w:numPr>
          <w:ilvl w:val="0"/>
          <w:numId w:val="2"/>
        </w:numPr>
        <w:spacing w:after="60"/>
      </w:pPr>
      <w:r w:rsidRPr="00B55091">
        <w:rPr>
          <w:b/>
        </w:rPr>
        <w:t xml:space="preserve">Recommendation: </w:t>
      </w:r>
      <w:r w:rsidRPr="00B55091">
        <w:rPr>
          <w:b/>
          <w:color w:val="404040"/>
        </w:rPr>
        <w:t>HOLD</w:t>
      </w:r>
    </w:p>
    <w:tbl>
      <w:tblPr>
        <w:tblStyle w:val="TableGrid"/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38"/>
        <w:gridCol w:w="2338"/>
        <w:gridCol w:w="2337"/>
        <w:gridCol w:w="2337"/>
      </w:tblGrid>
      <w:tr w:rsidR="00B55091" w14:paraId="72F043FE" w14:textId="77777777" w:rsidTr="00B55091">
        <w:tc>
          <w:tcPr>
            <w:tcW w:w="2340" w:type="dxa"/>
            <w:shd w:val="clear" w:color="auto" w:fill="1F3864"/>
            <w:vAlign w:val="center"/>
          </w:tcPr>
          <w:p w14:paraId="2527C48A" w14:textId="4FC583D8" w:rsidR="00B55091" w:rsidRPr="00B55091" w:rsidRDefault="00B55091" w:rsidP="00A15CB6">
            <w:pPr>
              <w:spacing w:before="240" w:after="240"/>
              <w:jc w:val="center"/>
              <w:rPr>
                <w:b/>
                <w:color w:val="FFFFFF"/>
                <w:sz w:val="20"/>
              </w:rPr>
            </w:pPr>
            <w:r w:rsidRPr="00B55091"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2340" w:type="dxa"/>
            <w:shd w:val="clear" w:color="auto" w:fill="1F3864"/>
            <w:vAlign w:val="center"/>
          </w:tcPr>
          <w:p w14:paraId="01ABAF3D" w14:textId="675FCACF" w:rsidR="00B55091" w:rsidRPr="00B55091" w:rsidRDefault="00B55091" w:rsidP="00A15CB6">
            <w:pPr>
              <w:spacing w:before="240" w:after="240"/>
              <w:jc w:val="center"/>
              <w:rPr>
                <w:b/>
                <w:color w:val="FFFFFF"/>
                <w:sz w:val="20"/>
              </w:rPr>
            </w:pPr>
            <w:r w:rsidRPr="00B55091">
              <w:rPr>
                <w:b/>
                <w:color w:val="FFFFFF"/>
                <w:sz w:val="20"/>
              </w:rPr>
              <w:t>Walmart (WMT)</w:t>
            </w:r>
          </w:p>
        </w:tc>
        <w:tc>
          <w:tcPr>
            <w:tcW w:w="2340" w:type="dxa"/>
            <w:shd w:val="clear" w:color="auto" w:fill="1F3864"/>
            <w:vAlign w:val="center"/>
          </w:tcPr>
          <w:p w14:paraId="326E671E" w14:textId="60F46321" w:rsidR="00B55091" w:rsidRPr="00B55091" w:rsidRDefault="00B55091" w:rsidP="00A15CB6">
            <w:pPr>
              <w:spacing w:before="240" w:after="240"/>
              <w:jc w:val="center"/>
              <w:rPr>
                <w:b/>
                <w:color w:val="FFFFFF"/>
                <w:sz w:val="20"/>
              </w:rPr>
            </w:pPr>
            <w:r w:rsidRPr="00B55091">
              <w:rPr>
                <w:b/>
                <w:color w:val="FFFFFF"/>
                <w:sz w:val="20"/>
              </w:rPr>
              <w:t>Competitor Avg.</w:t>
            </w:r>
          </w:p>
        </w:tc>
        <w:tc>
          <w:tcPr>
            <w:tcW w:w="2340" w:type="dxa"/>
            <w:shd w:val="clear" w:color="auto" w:fill="1F3864"/>
            <w:vAlign w:val="center"/>
          </w:tcPr>
          <w:p w14:paraId="5076A6F7" w14:textId="1A8BD377" w:rsidR="00B55091" w:rsidRPr="00B55091" w:rsidRDefault="00B55091" w:rsidP="00A15CB6">
            <w:pPr>
              <w:spacing w:before="240" w:after="240"/>
              <w:jc w:val="center"/>
              <w:rPr>
                <w:b/>
                <w:color w:val="FFFFFF"/>
                <w:sz w:val="20"/>
              </w:rPr>
            </w:pPr>
            <w:r w:rsidRPr="00B55091">
              <w:rPr>
                <w:b/>
                <w:color w:val="FFFFFF"/>
                <w:sz w:val="20"/>
              </w:rPr>
              <w:t>Implication</w:t>
            </w:r>
          </w:p>
        </w:tc>
      </w:tr>
      <w:tr w:rsidR="00B55091" w14:paraId="0728B6AC" w14:textId="77777777" w:rsidTr="00B55091">
        <w:tc>
          <w:tcPr>
            <w:tcW w:w="2340" w:type="dxa"/>
            <w:vAlign w:val="center"/>
          </w:tcPr>
          <w:p w14:paraId="066D678E" w14:textId="013C33FB" w:rsidR="00B55091" w:rsidRPr="00B55091" w:rsidRDefault="00B55091" w:rsidP="00B55091">
            <w:pPr>
              <w:spacing w:after="240"/>
              <w:rPr>
                <w:b/>
                <w:sz w:val="20"/>
              </w:rPr>
            </w:pPr>
            <w:r w:rsidRPr="00B55091">
              <w:rPr>
                <w:b/>
                <w:sz w:val="20"/>
              </w:rPr>
              <w:t>P/E Ratio</w:t>
            </w:r>
          </w:p>
        </w:tc>
        <w:tc>
          <w:tcPr>
            <w:tcW w:w="2340" w:type="dxa"/>
            <w:vAlign w:val="center"/>
          </w:tcPr>
          <w:p w14:paraId="2E2A64DD" w14:textId="7DA2DD0D" w:rsidR="00B55091" w:rsidRPr="00B55091" w:rsidRDefault="00B55091" w:rsidP="00B55091">
            <w:pPr>
              <w:spacing w:after="240"/>
              <w:jc w:val="center"/>
              <w:rPr>
                <w:sz w:val="20"/>
              </w:rPr>
            </w:pPr>
            <w:r w:rsidRPr="00B55091">
              <w:rPr>
                <w:sz w:val="20"/>
              </w:rPr>
              <w:t>39.46x</w:t>
            </w:r>
          </w:p>
        </w:tc>
        <w:tc>
          <w:tcPr>
            <w:tcW w:w="2340" w:type="dxa"/>
            <w:vAlign w:val="center"/>
          </w:tcPr>
          <w:p w14:paraId="2B6C478E" w14:textId="6C0736C1" w:rsidR="00B55091" w:rsidRPr="00B55091" w:rsidRDefault="00B55091" w:rsidP="00B55091">
            <w:pPr>
              <w:spacing w:after="240"/>
              <w:jc w:val="center"/>
              <w:rPr>
                <w:sz w:val="20"/>
              </w:rPr>
            </w:pPr>
            <w:r w:rsidRPr="00B55091">
              <w:rPr>
                <w:sz w:val="20"/>
              </w:rPr>
              <w:t>33.34x</w:t>
            </w:r>
          </w:p>
        </w:tc>
        <w:tc>
          <w:tcPr>
            <w:tcW w:w="2340" w:type="dxa"/>
            <w:vAlign w:val="center"/>
          </w:tcPr>
          <w:p w14:paraId="7401E12F" w14:textId="6BCC793B" w:rsidR="00B55091" w:rsidRPr="00B55091" w:rsidRDefault="00B55091" w:rsidP="00B55091">
            <w:pPr>
              <w:spacing w:after="240"/>
              <w:rPr>
                <w:sz w:val="20"/>
              </w:rPr>
            </w:pPr>
            <w:r w:rsidRPr="00B55091">
              <w:rPr>
                <w:sz w:val="20"/>
              </w:rPr>
              <w:t>Premium (+6.12x): Investors are paying a significant premium for earnings.</w:t>
            </w:r>
          </w:p>
        </w:tc>
      </w:tr>
      <w:tr w:rsidR="00B55091" w14:paraId="229417B9" w14:textId="77777777" w:rsidTr="00B55091">
        <w:tc>
          <w:tcPr>
            <w:tcW w:w="2340" w:type="dxa"/>
            <w:shd w:val="clear" w:color="auto" w:fill="F7F9FC"/>
            <w:vAlign w:val="center"/>
          </w:tcPr>
          <w:p w14:paraId="3FF49BDB" w14:textId="1E53B4A9" w:rsidR="00B55091" w:rsidRPr="00B55091" w:rsidRDefault="00B55091" w:rsidP="00B55091">
            <w:pPr>
              <w:spacing w:after="240"/>
              <w:rPr>
                <w:b/>
                <w:sz w:val="20"/>
              </w:rPr>
            </w:pPr>
            <w:r w:rsidRPr="00B55091">
              <w:rPr>
                <w:b/>
                <w:sz w:val="20"/>
              </w:rPr>
              <w:t>P/B Ratio</w:t>
            </w:r>
          </w:p>
        </w:tc>
        <w:tc>
          <w:tcPr>
            <w:tcW w:w="2340" w:type="dxa"/>
            <w:shd w:val="clear" w:color="auto" w:fill="F7F9FC"/>
            <w:vAlign w:val="center"/>
          </w:tcPr>
          <w:p w14:paraId="260C0351" w14:textId="0C468459" w:rsidR="00B55091" w:rsidRPr="00B55091" w:rsidRDefault="00B55091" w:rsidP="00B55091">
            <w:pPr>
              <w:spacing w:after="240"/>
              <w:jc w:val="center"/>
              <w:rPr>
                <w:sz w:val="20"/>
              </w:rPr>
            </w:pPr>
            <w:r w:rsidRPr="00B55091">
              <w:rPr>
                <w:sz w:val="20"/>
              </w:rPr>
              <w:t>9.38x</w:t>
            </w:r>
          </w:p>
        </w:tc>
        <w:tc>
          <w:tcPr>
            <w:tcW w:w="2340" w:type="dxa"/>
            <w:shd w:val="clear" w:color="auto" w:fill="F7F9FC"/>
            <w:vAlign w:val="center"/>
          </w:tcPr>
          <w:p w14:paraId="35E7FD56" w14:textId="085012B7" w:rsidR="00B55091" w:rsidRPr="00B55091" w:rsidRDefault="00B55091" w:rsidP="00B55091">
            <w:pPr>
              <w:spacing w:after="240"/>
              <w:jc w:val="center"/>
              <w:rPr>
                <w:sz w:val="20"/>
              </w:rPr>
            </w:pPr>
            <w:r w:rsidRPr="00B55091">
              <w:rPr>
                <w:sz w:val="20"/>
              </w:rPr>
              <w:t>7.36x</w:t>
            </w:r>
          </w:p>
        </w:tc>
        <w:tc>
          <w:tcPr>
            <w:tcW w:w="2340" w:type="dxa"/>
            <w:shd w:val="clear" w:color="auto" w:fill="F7F9FC"/>
            <w:vAlign w:val="center"/>
          </w:tcPr>
          <w:p w14:paraId="1FEEADF3" w14:textId="02EABBCB" w:rsidR="00B55091" w:rsidRPr="00B55091" w:rsidRDefault="00B55091" w:rsidP="00B55091">
            <w:pPr>
              <w:spacing w:after="240"/>
              <w:rPr>
                <w:sz w:val="20"/>
              </w:rPr>
            </w:pPr>
            <w:r w:rsidRPr="00B55091">
              <w:rPr>
                <w:sz w:val="20"/>
              </w:rPr>
              <w:t>Premium (+2.02x): Suggests high asset efficiency, but also a higher price tag.</w:t>
            </w:r>
          </w:p>
        </w:tc>
      </w:tr>
      <w:tr w:rsidR="00B55091" w14:paraId="317E2084" w14:textId="77777777" w:rsidTr="00B55091">
        <w:tc>
          <w:tcPr>
            <w:tcW w:w="2340" w:type="dxa"/>
            <w:vAlign w:val="center"/>
          </w:tcPr>
          <w:p w14:paraId="265EE2E2" w14:textId="02330EE6" w:rsidR="00B55091" w:rsidRPr="00B55091" w:rsidRDefault="00B55091" w:rsidP="00B55091">
            <w:pPr>
              <w:spacing w:after="240"/>
              <w:rPr>
                <w:b/>
                <w:sz w:val="20"/>
              </w:rPr>
            </w:pPr>
            <w:r w:rsidRPr="00B55091">
              <w:rPr>
                <w:b/>
                <w:sz w:val="20"/>
              </w:rPr>
              <w:t>P/S Ratio</w:t>
            </w:r>
          </w:p>
        </w:tc>
        <w:tc>
          <w:tcPr>
            <w:tcW w:w="2340" w:type="dxa"/>
            <w:vAlign w:val="center"/>
          </w:tcPr>
          <w:p w14:paraId="2132C74E" w14:textId="7BCF5137" w:rsidR="00B55091" w:rsidRPr="00B55091" w:rsidRDefault="00B55091" w:rsidP="00B55091">
            <w:pPr>
              <w:spacing w:after="240"/>
              <w:jc w:val="center"/>
              <w:rPr>
                <w:sz w:val="20"/>
              </w:rPr>
            </w:pPr>
            <w:r w:rsidRPr="00B55091">
              <w:rPr>
                <w:sz w:val="20"/>
              </w:rPr>
              <w:t>1.23x</w:t>
            </w:r>
          </w:p>
        </w:tc>
        <w:tc>
          <w:tcPr>
            <w:tcW w:w="2340" w:type="dxa"/>
            <w:vAlign w:val="center"/>
          </w:tcPr>
          <w:p w14:paraId="3414AE97" w14:textId="5B6B9CA4" w:rsidR="00B55091" w:rsidRPr="00B55091" w:rsidRDefault="00B55091" w:rsidP="00B55091">
            <w:pPr>
              <w:spacing w:after="240"/>
              <w:jc w:val="center"/>
              <w:rPr>
                <w:sz w:val="20"/>
              </w:rPr>
            </w:pPr>
            <w:r w:rsidRPr="00B55091">
              <w:rPr>
                <w:sz w:val="20"/>
              </w:rPr>
              <w:t>0.77x</w:t>
            </w:r>
          </w:p>
        </w:tc>
        <w:tc>
          <w:tcPr>
            <w:tcW w:w="2340" w:type="dxa"/>
            <w:vAlign w:val="center"/>
          </w:tcPr>
          <w:p w14:paraId="187A93A0" w14:textId="4A6526E7" w:rsidR="00B55091" w:rsidRPr="00B55091" w:rsidRDefault="00B55091" w:rsidP="00B55091">
            <w:pPr>
              <w:spacing w:after="240"/>
              <w:rPr>
                <w:sz w:val="20"/>
              </w:rPr>
            </w:pPr>
            <w:r w:rsidRPr="00B55091">
              <w:rPr>
                <w:sz w:val="20"/>
              </w:rPr>
              <w:t>Premium (+0.46x): Reflects market confidence in Walmart's scale and revenue quality.</w:t>
            </w:r>
          </w:p>
        </w:tc>
      </w:tr>
      <w:tr w:rsidR="00B55091" w14:paraId="5865ADB3" w14:textId="77777777" w:rsidTr="00B55091">
        <w:tc>
          <w:tcPr>
            <w:tcW w:w="2340" w:type="dxa"/>
            <w:shd w:val="clear" w:color="auto" w:fill="F7F9FC"/>
            <w:vAlign w:val="center"/>
          </w:tcPr>
          <w:p w14:paraId="4EB2350E" w14:textId="25925844" w:rsidR="00B55091" w:rsidRPr="00B55091" w:rsidRDefault="00B55091" w:rsidP="00B55091">
            <w:pPr>
              <w:spacing w:after="240"/>
              <w:rPr>
                <w:b/>
                <w:sz w:val="20"/>
              </w:rPr>
            </w:pPr>
            <w:r w:rsidRPr="00B55091">
              <w:rPr>
                <w:b/>
                <w:sz w:val="20"/>
              </w:rPr>
              <w:t>EV/EBITDA</w:t>
            </w:r>
          </w:p>
        </w:tc>
        <w:tc>
          <w:tcPr>
            <w:tcW w:w="2340" w:type="dxa"/>
            <w:shd w:val="clear" w:color="auto" w:fill="F7F9FC"/>
            <w:vAlign w:val="center"/>
          </w:tcPr>
          <w:p w14:paraId="25AA3068" w14:textId="7A50F534" w:rsidR="00B55091" w:rsidRPr="00B55091" w:rsidRDefault="00B55091" w:rsidP="00B55091">
            <w:pPr>
              <w:spacing w:after="240"/>
              <w:jc w:val="center"/>
              <w:rPr>
                <w:sz w:val="20"/>
              </w:rPr>
            </w:pPr>
            <w:r w:rsidRPr="00B55091">
              <w:rPr>
                <w:sz w:val="20"/>
              </w:rPr>
              <w:t>19.70x</w:t>
            </w:r>
          </w:p>
        </w:tc>
        <w:tc>
          <w:tcPr>
            <w:tcW w:w="2340" w:type="dxa"/>
            <w:shd w:val="clear" w:color="auto" w:fill="F7F9FC"/>
            <w:vAlign w:val="center"/>
          </w:tcPr>
          <w:p w14:paraId="0D0FC2DA" w14:textId="0EDBB731" w:rsidR="00B55091" w:rsidRPr="00B55091" w:rsidRDefault="00B55091" w:rsidP="00B55091">
            <w:pPr>
              <w:spacing w:after="240"/>
              <w:jc w:val="center"/>
              <w:rPr>
                <w:sz w:val="20"/>
              </w:rPr>
            </w:pPr>
            <w:r w:rsidRPr="00B55091">
              <w:rPr>
                <w:sz w:val="20"/>
              </w:rPr>
              <w:t>16.02x</w:t>
            </w:r>
          </w:p>
        </w:tc>
        <w:tc>
          <w:tcPr>
            <w:tcW w:w="2340" w:type="dxa"/>
            <w:shd w:val="clear" w:color="auto" w:fill="F7F9FC"/>
            <w:vAlign w:val="center"/>
          </w:tcPr>
          <w:p w14:paraId="30B2DA19" w14:textId="1E0F8A7A" w:rsidR="00B55091" w:rsidRPr="00B55091" w:rsidRDefault="00B55091" w:rsidP="00B55091">
            <w:pPr>
              <w:spacing w:after="240"/>
              <w:rPr>
                <w:sz w:val="20"/>
              </w:rPr>
            </w:pPr>
            <w:r w:rsidRPr="00B55091">
              <w:rPr>
                <w:sz w:val="20"/>
              </w:rPr>
              <w:t>Premium (+3.68x): Reflects strong underlying cash flow quality.</w:t>
            </w:r>
          </w:p>
        </w:tc>
      </w:tr>
    </w:tbl>
    <w:p w14:paraId="1C94324C" w14:textId="77777777" w:rsidR="00B55091" w:rsidRDefault="00B55091" w:rsidP="00B55091">
      <w:pPr>
        <w:spacing w:after="60"/>
        <w:rPr>
          <w:b/>
          <w:color w:val="1F3864"/>
        </w:rPr>
      </w:pPr>
    </w:p>
    <w:p w14:paraId="17878F80" w14:textId="4ABBAACC" w:rsidR="00B55091" w:rsidRPr="00B55091" w:rsidRDefault="00B55091" w:rsidP="00B55091">
      <w:pPr>
        <w:spacing w:after="60"/>
      </w:pPr>
      <w:r w:rsidRPr="00B55091">
        <w:rPr>
          <w:b/>
          <w:color w:val="1F3864"/>
        </w:rPr>
        <w:lastRenderedPageBreak/>
        <w:t>3. Interpretation &amp; Conclusion</w:t>
      </w:r>
    </w:p>
    <w:p w14:paraId="39F80B7F" w14:textId="6D9EFB0A" w:rsidR="00B55091" w:rsidRPr="00B55091" w:rsidRDefault="00B55091" w:rsidP="00B55091">
      <w:pPr>
        <w:pStyle w:val="ListParagraph"/>
        <w:numPr>
          <w:ilvl w:val="0"/>
          <w:numId w:val="4"/>
        </w:numPr>
        <w:spacing w:after="60"/>
      </w:pPr>
      <w:r w:rsidRPr="00B55091">
        <w:rPr>
          <w:b/>
        </w:rPr>
        <w:t xml:space="preserve">Quality premium: </w:t>
      </w:r>
      <w:r w:rsidRPr="00B55091">
        <w:t>Walmart trades at a premium across all major valuation multiples. Investors are paying for its scale, strong balance sheet ($10.7B cash), and leading grocery business.</w:t>
      </w:r>
    </w:p>
    <w:p w14:paraId="139BE6AF" w14:textId="5EED7E0C" w:rsidR="00B55091" w:rsidRPr="00B55091" w:rsidRDefault="00B55091" w:rsidP="00B55091">
      <w:pPr>
        <w:spacing w:after="240"/>
        <w:rPr>
          <w:b/>
        </w:rPr>
      </w:pPr>
      <w:r w:rsidRPr="00B55091">
        <w:rPr>
          <w:b/>
          <w:color w:val="1F3864"/>
        </w:rPr>
        <w:t>4. Investment Recommendation</w:t>
      </w:r>
    </w:p>
    <w:p w14:paraId="7CD64EB4" w14:textId="55F9A612" w:rsidR="00B55091" w:rsidRPr="00B55091" w:rsidRDefault="00B55091" w:rsidP="00B55091">
      <w:pPr>
        <w:pStyle w:val="ListParagraph"/>
        <w:numPr>
          <w:ilvl w:val="0"/>
          <w:numId w:val="5"/>
        </w:numPr>
        <w:spacing w:after="60"/>
      </w:pPr>
      <w:r w:rsidRPr="00B55091">
        <w:rPr>
          <w:b/>
        </w:rPr>
        <w:t xml:space="preserve">Rating: </w:t>
      </w:r>
      <w:r w:rsidRPr="00B55091">
        <w:rPr>
          <w:b/>
          <w:color w:val="404040"/>
        </w:rPr>
        <w:t>HOLD</w:t>
      </w:r>
    </w:p>
    <w:p w14:paraId="69FDA2B1" w14:textId="3DCD8E5C" w:rsidR="00B55091" w:rsidRPr="00B55091" w:rsidRDefault="00B55091" w:rsidP="00B55091">
      <w:pPr>
        <w:pStyle w:val="ListParagraph"/>
        <w:numPr>
          <w:ilvl w:val="0"/>
          <w:numId w:val="5"/>
        </w:numPr>
        <w:spacing w:after="60"/>
      </w:pPr>
      <w:r w:rsidRPr="00B55091">
        <w:rPr>
          <w:b/>
        </w:rPr>
        <w:t xml:space="preserve">Action: </w:t>
      </w:r>
      <w:r w:rsidRPr="00B55091">
        <w:t>Do not initiate a new position at current price levels.</w:t>
      </w:r>
    </w:p>
    <w:p w14:paraId="2F463F68" w14:textId="34FB5039" w:rsidR="00B55091" w:rsidRPr="00B55091" w:rsidRDefault="00B55091" w:rsidP="00B55091">
      <w:pPr>
        <w:spacing w:after="60"/>
      </w:pPr>
      <w:r w:rsidRPr="00B55091">
        <w:rPr>
          <w:b/>
          <w:color w:val="1F3864"/>
        </w:rPr>
        <w:t>5. Limitations &amp; Risks</w:t>
      </w:r>
    </w:p>
    <w:p w14:paraId="71FB9236" w14:textId="40B6C7C2" w:rsidR="00B55091" w:rsidRPr="00B55091" w:rsidRDefault="00B55091" w:rsidP="00B55091">
      <w:pPr>
        <w:pStyle w:val="ListParagraph"/>
        <w:numPr>
          <w:ilvl w:val="0"/>
          <w:numId w:val="5"/>
        </w:numPr>
        <w:spacing w:after="60"/>
      </w:pPr>
      <w:r w:rsidRPr="00B55091">
        <w:t>This analysis relies strictly on relative trading multiples.</w:t>
      </w:r>
    </w:p>
    <w:p w14:paraId="6B6174C0" w14:textId="6B6AB41B" w:rsidR="00B55091" w:rsidRPr="00B55091" w:rsidRDefault="00B55091" w:rsidP="00B55091">
      <w:pPr>
        <w:spacing w:after="240"/>
      </w:pPr>
      <w:r>
        <w:t>It does not incorporate a DCF analysis, projected future cash flows, or a detailed company valuation.</w:t>
      </w:r>
    </w:p>
    <w:sectPr w:rsidR="00B55091" w:rsidRPr="00B55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06422"/>
    <w:multiLevelType w:val="hybridMultilevel"/>
    <w:tmpl w:val="44A2647C"/>
    <w:lvl w:ilvl="0" w:tplc="7CAE957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3864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3D708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2EF7731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49521BBC"/>
    <w:multiLevelType w:val="multilevel"/>
    <w:tmpl w:val="5D40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CC1E8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539246755">
    <w:abstractNumId w:val="3"/>
  </w:num>
  <w:num w:numId="2" w16cid:durableId="1898783940">
    <w:abstractNumId w:val="1"/>
  </w:num>
  <w:num w:numId="3" w16cid:durableId="1383943594">
    <w:abstractNumId w:val="0"/>
  </w:num>
  <w:num w:numId="4" w16cid:durableId="1999460585">
    <w:abstractNumId w:val="2"/>
  </w:num>
  <w:num w:numId="5" w16cid:durableId="12034036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070"/>
    <w:rsid w:val="00022FFD"/>
    <w:rsid w:val="000945FC"/>
    <w:rsid w:val="000F5070"/>
    <w:rsid w:val="001117E7"/>
    <w:rsid w:val="001C788B"/>
    <w:rsid w:val="001F4099"/>
    <w:rsid w:val="002361A6"/>
    <w:rsid w:val="00292EE0"/>
    <w:rsid w:val="003607A6"/>
    <w:rsid w:val="005439B4"/>
    <w:rsid w:val="007D39C2"/>
    <w:rsid w:val="00913F1C"/>
    <w:rsid w:val="00A01974"/>
    <w:rsid w:val="00A15CB6"/>
    <w:rsid w:val="00A840FF"/>
    <w:rsid w:val="00AF3337"/>
    <w:rsid w:val="00B21AFF"/>
    <w:rsid w:val="00B45257"/>
    <w:rsid w:val="00B55091"/>
    <w:rsid w:val="00BD2799"/>
    <w:rsid w:val="00C54A68"/>
    <w:rsid w:val="00C60AB9"/>
    <w:rsid w:val="00D33D04"/>
    <w:rsid w:val="00D84838"/>
    <w:rsid w:val="00E82854"/>
    <w:rsid w:val="00EE45C5"/>
    <w:rsid w:val="00F0225B"/>
    <w:rsid w:val="00F64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AE2E4"/>
  <w15:chartTrackingRefBased/>
  <w15:docId w15:val="{ECB84030-1770-4269-AE35-0EEDE5798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color w:val="262626"/>
      <w:sz w:val="21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5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0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0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07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07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070"/>
    <w:rPr>
      <w:rFonts w:eastAsiaTheme="majorEastAsia" w:cstheme="majorBidi"/>
      <w:color w:val="2F5496" w:themeColor="accent1" w:themeShade="BF"/>
      <w:sz w:val="28"/>
      <w:szCs w:val="28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070"/>
    <w:rPr>
      <w:rFonts w:eastAsiaTheme="majorEastAsia" w:cstheme="majorBidi"/>
      <w:i/>
      <w:iCs/>
      <w:color w:val="2F5496" w:themeColor="accent1" w:themeShade="BF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070"/>
    <w:rPr>
      <w:rFonts w:eastAsiaTheme="majorEastAsia" w:cstheme="majorBidi"/>
      <w:color w:val="2F5496" w:themeColor="accent1" w:themeShade="BF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070"/>
    <w:rPr>
      <w:rFonts w:eastAsiaTheme="majorEastAsia" w:cstheme="majorBidi"/>
      <w:i/>
      <w:iCs/>
      <w:color w:val="595959" w:themeColor="text1" w:themeTint="A6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070"/>
    <w:rPr>
      <w:rFonts w:eastAsiaTheme="majorEastAsia" w:cstheme="majorBidi"/>
      <w:color w:val="595959" w:themeColor="text1" w:themeTint="A6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070"/>
    <w:rPr>
      <w:rFonts w:eastAsiaTheme="majorEastAsia" w:cstheme="majorBidi"/>
      <w:i/>
      <w:iCs/>
      <w:color w:val="272727" w:themeColor="text1" w:themeTint="D8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070"/>
    <w:rPr>
      <w:rFonts w:eastAsiaTheme="majorEastAsia" w:cstheme="majorBidi"/>
      <w:color w:val="272727" w:themeColor="text1" w:themeTint="D8"/>
      <w:lang w:bidi="fa-IR"/>
    </w:rPr>
  </w:style>
  <w:style w:type="paragraph" w:styleId="Title">
    <w:name w:val="Title"/>
    <w:basedOn w:val="Normal"/>
    <w:next w:val="Normal"/>
    <w:link w:val="TitleChar"/>
    <w:uiPriority w:val="10"/>
    <w:qFormat/>
    <w:rsid w:val="000F5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070"/>
    <w:rPr>
      <w:rFonts w:asciiTheme="majorHAnsi" w:eastAsiaTheme="majorEastAsia" w:hAnsiTheme="majorHAnsi" w:cstheme="majorBidi"/>
      <w:spacing w:val="-10"/>
      <w:kern w:val="28"/>
      <w:sz w:val="56"/>
      <w:szCs w:val="56"/>
      <w:lang w:bidi="fa-IR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070"/>
    <w:rPr>
      <w:rFonts w:eastAsiaTheme="majorEastAsia" w:cstheme="majorBidi"/>
      <w:color w:val="595959" w:themeColor="text1" w:themeTint="A6"/>
      <w:spacing w:val="15"/>
      <w:sz w:val="28"/>
      <w:szCs w:val="28"/>
      <w:lang w:bidi="fa-IR"/>
    </w:rPr>
  </w:style>
  <w:style w:type="paragraph" w:styleId="Quote">
    <w:name w:val="Quote"/>
    <w:basedOn w:val="Normal"/>
    <w:next w:val="Normal"/>
    <w:link w:val="QuoteChar"/>
    <w:uiPriority w:val="29"/>
    <w:qFormat/>
    <w:rsid w:val="000F5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070"/>
    <w:rPr>
      <w:i/>
      <w:iCs/>
      <w:color w:val="404040" w:themeColor="text1" w:themeTint="BF"/>
      <w:lang w:bidi="fa-IR"/>
    </w:rPr>
  </w:style>
  <w:style w:type="paragraph" w:styleId="ListParagraph">
    <w:name w:val="List Paragraph"/>
    <w:basedOn w:val="Normal"/>
    <w:uiPriority w:val="34"/>
    <w:qFormat/>
    <w:rsid w:val="000F5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0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0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070"/>
    <w:rPr>
      <w:i/>
      <w:iCs/>
      <w:color w:val="2F5496" w:themeColor="accent1" w:themeShade="BF"/>
      <w:lang w:bidi="fa-IR"/>
    </w:rPr>
  </w:style>
  <w:style w:type="character" w:styleId="IntenseReference">
    <w:name w:val="Intense Reference"/>
    <w:basedOn w:val="DefaultParagraphFont"/>
    <w:uiPriority w:val="32"/>
    <w:qFormat/>
    <w:rsid w:val="000F50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550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15C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15CB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5CB6"/>
    <w:rPr>
      <w:rFonts w:ascii="Calibri" w:hAnsi="Calibri" w:cs="Calibri"/>
      <w:color w:val="262626"/>
      <w:sz w:val="20"/>
      <w:szCs w:val="20"/>
      <w:lang w:bidi="fa-I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5C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5CB6"/>
    <w:rPr>
      <w:rFonts w:ascii="Calibri" w:hAnsi="Calibri" w:cs="Calibri"/>
      <w:b/>
      <w:bCs/>
      <w:color w:val="262626"/>
      <w:sz w:val="20"/>
      <w:szCs w:val="20"/>
      <w:lang w:bidi="fa-IR"/>
    </w:rPr>
  </w:style>
  <w:style w:type="paragraph" w:customStyle="1" w:styleId="ds-markdown-paragraph">
    <w:name w:val="ds-markdown-paragraph"/>
    <w:basedOn w:val="Normal"/>
    <w:rsid w:val="00A019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019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78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6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1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08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93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6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5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6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13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7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833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6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ross</dc:creator>
  <cp:keywords/>
  <dc:description/>
  <cp:lastModifiedBy>mike ross</cp:lastModifiedBy>
  <cp:revision>5</cp:revision>
  <dcterms:created xsi:type="dcterms:W3CDTF">2026-08-08T14:24:00Z</dcterms:created>
  <dcterms:modified xsi:type="dcterms:W3CDTF">2026-08-14T07:13:00Z</dcterms:modified>
</cp:coreProperties>
</file>