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B55" w:rsidRPr="007D6835" w:rsidRDefault="009E1119" w:rsidP="007D6835">
      <w:pPr>
        <w:rPr>
          <w:b/>
        </w:rPr>
      </w:pPr>
      <w:r w:rsidRPr="007D6835">
        <w:rPr>
          <w:b/>
        </w:rPr>
        <w:t>Predictive Analytics for Pricing Strategies and Revenue Optimization</w:t>
      </w:r>
      <w:r w:rsidRPr="007D6835">
        <w:rPr>
          <w:b/>
        </w:rPr>
        <w:br/>
      </w:r>
    </w:p>
    <w:p w:rsidR="008B5B55" w:rsidRPr="007D6835" w:rsidRDefault="009E1119" w:rsidP="007D6835">
      <w:pPr>
        <w:rPr>
          <w:b/>
        </w:rPr>
      </w:pPr>
      <w:r w:rsidRPr="007D6835">
        <w:rPr>
          <w:b/>
        </w:rPr>
        <w:t>Abstract</w:t>
      </w:r>
    </w:p>
    <w:p w:rsidR="008B5B55" w:rsidRPr="007D6835" w:rsidRDefault="009E1119" w:rsidP="007D6835">
      <w:r w:rsidRPr="007D6835">
        <w:t xml:space="preserve">Pricing optimization has emerged as a central source of competitive advantage in the digital economy. Traditional cost-plus or static pricing models struggle to respond to </w:t>
      </w:r>
      <w:r w:rsidRPr="007D6835">
        <w:t>rapidly changing demand patterns, competitive moves, and contextual signals. Predictive analytics and machine learning (ML) enable data-driven, adaptive pricing strategies that forecast demand and recommend price adjustments in near real time. This paper p</w:t>
      </w:r>
      <w:r w:rsidRPr="007D6835">
        <w:t>resents an interpretable, resource-efficient framework tailored for small and medium enterprises (SMEs) that integrates Random Forest (RF), Extreme Gradient Boosting (XGBoost), and Long Short-Term Memory (LSTM) models with explainable AI (XAI) techniques (</w:t>
      </w:r>
      <w:r w:rsidRPr="007D6835">
        <w:t>SHAP and LIME). Synthetic SME-scale datasets and evaluation metrics (MA</w:t>
      </w:r>
      <w:r w:rsidR="00C90FD4">
        <w:t>E, RMSE</w:t>
      </w:r>
      <w:r w:rsidRPr="007D6835">
        <w:t>) are used to assess model performance and generalizability. By embedding interpretability into pricing pipelines, the framework aims to balance performa</w:t>
      </w:r>
      <w:r w:rsidRPr="007D6835">
        <w:t>nce with transparency, enabling ethical and practical adoption of AI-driven pricing in SME contexts (Nowak, 2024; ArXiv XAI survey, 2023; Vimbi, 2024).</w:t>
      </w:r>
      <w:r w:rsidR="0096208D" w:rsidRPr="0096208D">
        <w:t xml:space="preserve"> </w:t>
      </w:r>
      <w:r w:rsidR="0096208D">
        <w:t>The results provide a pathway for SMEs to adopt interpretable AI-based pricing systems with minimal technical overhead.</w:t>
      </w:r>
    </w:p>
    <w:p w:rsidR="008B5B55" w:rsidRPr="007D6835" w:rsidRDefault="009E1119" w:rsidP="007D6835">
      <w:r w:rsidRPr="007D6835">
        <w:rPr>
          <w:b/>
        </w:rPr>
        <w:t>Keywords</w:t>
      </w:r>
      <w:r w:rsidRPr="007D6835">
        <w:t>: Predictive Analytics; Dynamic Pricing; Revenue Optimization; Explainable AI; SMEs; XGBoost; LS</w:t>
      </w:r>
      <w:r w:rsidRPr="007D6835">
        <w:t>TM; SHAP; LIME</w:t>
      </w:r>
    </w:p>
    <w:p w:rsidR="008B5B55" w:rsidRPr="007D6835" w:rsidRDefault="009E1119" w:rsidP="007D6835">
      <w:pPr>
        <w:rPr>
          <w:b/>
        </w:rPr>
      </w:pPr>
      <w:r w:rsidRPr="007D6835">
        <w:rPr>
          <w:b/>
        </w:rPr>
        <w:t>1. Introduction</w:t>
      </w:r>
    </w:p>
    <w:p w:rsidR="009A6140" w:rsidRPr="007D6835" w:rsidRDefault="009E1119" w:rsidP="007D6835">
      <w:r w:rsidRPr="007D6835">
        <w:t>Pricing remains a foundational lever for revenue generation and strategic positioning. In a market environment characterized by rapid information flows, heightened price transparency, and increasingly sophisticated consumer b</w:t>
      </w:r>
      <w:r w:rsidRPr="007D6835">
        <w:t>ehavior, firms must move beyond static pricing heuristics. Academic and industry reports indicate a widespread shift towards data-driven pricing: advanced analytics allow firms to capture nonlinear demand elasticity, incorporate competitor intelligence, an</w:t>
      </w:r>
      <w:r w:rsidRPr="007D6835">
        <w:t xml:space="preserve">d react to transient market shocks (EY, 2023; BCG, 2024). </w:t>
      </w:r>
      <w:r w:rsidR="00943024" w:rsidRPr="007D6835">
        <w:t>While classical economic pricing models focused on elasticity and marginal cost optimization, predictive analytics extends these principles through real-time data-driven learning systems (Kotler &amp; Keller, 2024; Apte et al., 2024).</w:t>
      </w:r>
      <w:r w:rsidR="00512C78">
        <w:br/>
      </w:r>
      <w:r w:rsidR="00512C78">
        <w:br/>
        <w:t>Predictive analytics-</w:t>
      </w:r>
      <w:r w:rsidRPr="007D6835">
        <w:t>combining statistical methods, supervise</w:t>
      </w:r>
      <w:r w:rsidR="00512C78">
        <w:t>d learning, and sequence models-</w:t>
      </w:r>
      <w:r w:rsidRPr="007D6835">
        <w:t>enables organizations to anticipate demand responses to price changes and to automate pricing decisions</w:t>
      </w:r>
      <w:r w:rsidRPr="007D6835">
        <w:t xml:space="preserve"> that maximize revenue or profit objectives (Nowak, 2024). Ensemble tree-based methods such as Random Forest and XGBoost are adept at modeling complex cross-sectional relationships between </w:t>
      </w:r>
      <w:r w:rsidRPr="007D6835">
        <w:lastRenderedPageBreak/>
        <w:t>price, promotions, and sales, while recurrent neural networks, espe</w:t>
      </w:r>
      <w:r w:rsidRPr="007D6835">
        <w:t xml:space="preserve">cially LSTM architectures, capture temporal dependencies and seasonality in sales and demand (Comparative studies, 2024–2025). </w:t>
      </w:r>
      <w:r w:rsidR="00943024" w:rsidRPr="007D6835">
        <w:t>Thus, predictive analytics enables organizations to transform pricing from a reactive operational function into a strategic, continuously optimized process guided by interpretable machine intelligence.</w:t>
      </w:r>
    </w:p>
    <w:p w:rsidR="009A6140" w:rsidRPr="007D6835" w:rsidRDefault="009A6140" w:rsidP="007D6835">
      <w:r w:rsidRPr="007D6835">
        <w:t>1.1 Background</w:t>
      </w:r>
    </w:p>
    <w:p w:rsidR="009A6140" w:rsidRPr="007D6835" w:rsidRDefault="009A6140" w:rsidP="007D6835">
      <w:r w:rsidRPr="007D6835">
        <w:t>Predictive analytics integrates AI, ML, and econometric modeling to support data-driven pricing and revenue management. It has evolved from statistical forecasting to advanced algorithmic decision systems capable of real-time market adaptation. Studies indicate that predictive analytics adoption can increase profitability by up to 25% and improve pricing agility by 40% (Nowak, 2024; Basal et al., 2024; EY, 2023).</w:t>
      </w:r>
    </w:p>
    <w:p w:rsidR="009A6140" w:rsidRPr="007D6835" w:rsidRDefault="009A6140" w:rsidP="007D6835">
      <w:r w:rsidRPr="007D6835">
        <w:t>1.2 Problem Context</w:t>
      </w:r>
    </w:p>
    <w:p w:rsidR="009A6140" w:rsidRPr="007D6835" w:rsidRDefault="009A6140" w:rsidP="007D6835">
      <w:r w:rsidRPr="007D6835">
        <w:t>Despite these advancements, small and medium-sized enterprises (SMEs) face challenges in adopting predictive pricing. These include limited data access, computational capacity, and skilled labor shortages (Sánchez et al., 2025; Economic Times, 2024). Additionally, ML models often act as 'black boxes,' raising ethical and interpretability concerns (Vimbi, 2024; Mohammed, 2024).</w:t>
      </w:r>
      <w:r w:rsidR="003E0298" w:rsidRPr="007D6835">
        <w:t xml:space="preserve"> The rise of ethical AI standards such as the EU AI Act (2024) further emphasizes the need for transparent and auditable pricing systems, particularly for consumer-facing businesses.</w:t>
      </w:r>
    </w:p>
    <w:p w:rsidR="009A6140" w:rsidRPr="007D6835" w:rsidRDefault="009A6140" w:rsidP="007D6835">
      <w:r w:rsidRPr="007D6835">
        <w:t>1.3 Role of Predictive Analytics in Revenue Optimization</w:t>
      </w:r>
    </w:p>
    <w:p w:rsidR="009A6140" w:rsidRPr="007D6835" w:rsidRDefault="009A6140" w:rsidP="007D6835">
      <w:r w:rsidRPr="007D6835">
        <w:t>Predictive analytics combines supervised learning, ensemble methods, and deep learning to model price-demand dynamics. Random Forest and XGBoost capture complex interactions in tabular data, while Long Short-Term Memory (LSTM) networks excel in learning temporal dependencies (Perumallaplli, 2025; Uhunmwangho, 2024). When integrated with Explainable AI tools such as SHAP and LIME, these models become more transparent and trustworthy (Salih et al., 2023; Vimbi, 2024).</w:t>
      </w:r>
    </w:p>
    <w:p w:rsidR="008B5B55" w:rsidRPr="007D6835" w:rsidRDefault="009E1119" w:rsidP="007D6835">
      <w:r w:rsidRPr="007D6835">
        <w:br/>
        <w:t>To address these challenges, this paper proposes a hybrid predictive pricing framewo</w:t>
      </w:r>
      <w:r w:rsidRPr="007D6835">
        <w:t>rk that (a) is computationally lightweight, (b) combines ensemble and sequence models to capture both cross-sectional and temporal effects, and (c) integrates XAI methods (SHAP, LIME) to make recommendations interpretable for managers. The framework is des</w:t>
      </w:r>
      <w:r w:rsidRPr="007D6835">
        <w:t xml:space="preserve">igned to be deployable on modest hardware or cloud micro-instances, making it practical for SME </w:t>
      </w:r>
      <w:r w:rsidR="00F84E98" w:rsidRPr="007D6835">
        <w:t xml:space="preserve">adoption. </w:t>
      </w:r>
    </w:p>
    <w:p w:rsidR="008B5B55" w:rsidRPr="007D6835" w:rsidRDefault="008B5B55" w:rsidP="007D6835"/>
    <w:p w:rsidR="008B5B55" w:rsidRPr="007D6835" w:rsidRDefault="008B5B55" w:rsidP="007D6835"/>
    <w:p w:rsidR="00801947" w:rsidRDefault="009E1119" w:rsidP="00801947">
      <w:pPr>
        <w:keepNext/>
      </w:pPr>
      <w:r w:rsidRPr="007D6835">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in_the_image_illustrates_the_evolution.png"/>
                    <pic:cNvPicPr/>
                  </pic:nvPicPr>
                  <pic:blipFill>
                    <a:blip r:embed="rId8"/>
                    <a:stretch>
                      <a:fillRect/>
                    </a:stretch>
                  </pic:blipFill>
                  <pic:spPr>
                    <a:xfrm>
                      <a:off x="0" y="0"/>
                      <a:ext cx="5486400" cy="3657600"/>
                    </a:xfrm>
                    <a:prstGeom prst="rect">
                      <a:avLst/>
                    </a:prstGeom>
                  </pic:spPr>
                </pic:pic>
              </a:graphicData>
            </a:graphic>
          </wp:inline>
        </w:drawing>
      </w:r>
    </w:p>
    <w:p w:rsidR="008B5B55" w:rsidRPr="00801947" w:rsidRDefault="00801947" w:rsidP="00801947">
      <w:pPr>
        <w:pStyle w:val="Caption"/>
        <w:jc w:val="center"/>
        <w:rPr>
          <w:i/>
          <w:sz w:val="20"/>
          <w:szCs w:val="20"/>
        </w:rPr>
      </w:pPr>
      <w:r w:rsidRPr="00801947">
        <w:rPr>
          <w:i/>
          <w:sz w:val="20"/>
          <w:szCs w:val="20"/>
        </w:rPr>
        <w:t xml:space="preserve">Figure </w:t>
      </w:r>
      <w:r w:rsidRPr="00801947">
        <w:rPr>
          <w:i/>
          <w:sz w:val="20"/>
          <w:szCs w:val="20"/>
        </w:rPr>
        <w:fldChar w:fldCharType="begin"/>
      </w:r>
      <w:r w:rsidRPr="00801947">
        <w:rPr>
          <w:i/>
          <w:sz w:val="20"/>
          <w:szCs w:val="20"/>
        </w:rPr>
        <w:instrText xml:space="preserve"> SEQ Figure \* ARABIC </w:instrText>
      </w:r>
      <w:r w:rsidRPr="00801947">
        <w:rPr>
          <w:i/>
          <w:sz w:val="20"/>
          <w:szCs w:val="20"/>
        </w:rPr>
        <w:fldChar w:fldCharType="separate"/>
      </w:r>
      <w:r w:rsidR="00E07358">
        <w:rPr>
          <w:i/>
          <w:noProof/>
          <w:sz w:val="20"/>
          <w:szCs w:val="20"/>
        </w:rPr>
        <w:t>1</w:t>
      </w:r>
      <w:r w:rsidRPr="00801947">
        <w:rPr>
          <w:i/>
          <w:sz w:val="20"/>
          <w:szCs w:val="20"/>
        </w:rPr>
        <w:fldChar w:fldCharType="end"/>
      </w:r>
      <w:r w:rsidRPr="00801947">
        <w:rPr>
          <w:i/>
          <w:sz w:val="20"/>
          <w:szCs w:val="20"/>
        </w:rPr>
        <w:t>: Evolution of Pricing Strategies in the Digital Economy.</w:t>
      </w:r>
    </w:p>
    <w:p w:rsidR="008B5B55" w:rsidRPr="007D6835" w:rsidRDefault="008B5B55" w:rsidP="00801947">
      <w:pPr>
        <w:jc w:val="center"/>
        <w:rPr>
          <w:i/>
        </w:rPr>
      </w:pPr>
    </w:p>
    <w:p w:rsidR="008B5B55" w:rsidRPr="007D6835" w:rsidRDefault="009E1119" w:rsidP="007D6835">
      <w:pPr>
        <w:rPr>
          <w:b/>
        </w:rPr>
      </w:pPr>
      <w:r w:rsidRPr="007D6835">
        <w:rPr>
          <w:b/>
        </w:rPr>
        <w:t>2. Literature Review</w:t>
      </w:r>
    </w:p>
    <w:p w:rsidR="008B5B55" w:rsidRPr="007D6835" w:rsidRDefault="009E1119" w:rsidP="007D6835">
      <w:r w:rsidRPr="007D6835">
        <w:t>2.1 Dynamic Pricing and AI Integration</w:t>
      </w:r>
    </w:p>
    <w:p w:rsidR="008B5B55" w:rsidRPr="007D6835" w:rsidRDefault="00512C78" w:rsidP="007D6835">
      <w:r>
        <w:t>Dynamic pricing-</w:t>
      </w:r>
      <w:r w:rsidR="009E1119" w:rsidRPr="007D6835">
        <w:t>adjusting prices in response to demand, inventory, com</w:t>
      </w:r>
      <w:r>
        <w:t>petition, or contextual signals-</w:t>
      </w:r>
      <w:r w:rsidR="009E1119" w:rsidRPr="007D6835">
        <w:t>h</w:t>
      </w:r>
      <w:r w:rsidR="009E1119" w:rsidRPr="007D6835">
        <w:t>as evolved from heuristic rules to data-driven automated decision systems. Early revenue management applications harnessed relatively simple statistical forecasting and rule-based optimizers in airline and hospitality industries. The widespread availabilit</w:t>
      </w:r>
      <w:r w:rsidR="009E1119" w:rsidRPr="007D6835">
        <w:t>y of transactional and behavioral data today enables machine learning methods to replace or augment these rule-based systems (Nowak, 2024; MDPI, 2024). Recent reviews highlight the proliferation of tree-based gradient boosting methods and neural sequence m</w:t>
      </w:r>
      <w:r w:rsidR="009E1119" w:rsidRPr="007D6835">
        <w:t>odels in pricing tasks; these approaches can capture interaction effects (e.g., price × promotion) and temporal patterns respectively (Comparative analyses, 2024–2025). Furthermore, consulting studies observe that firms adopting AI-enabled pricing report r</w:t>
      </w:r>
      <w:r w:rsidR="009E1119" w:rsidRPr="007D6835">
        <w:t>evenue uplifts and improved price responsiveness (BCG, 2024; EY, 2023).</w:t>
      </w:r>
      <w:r w:rsidR="009A6140" w:rsidRPr="007D6835">
        <w:t xml:space="preserve"> While dynamic pricing </w:t>
      </w:r>
      <w:r w:rsidR="009A6140" w:rsidRPr="007D6835">
        <w:lastRenderedPageBreak/>
        <w:t>research has matured, model selection remains a central challenge, particularly regarding computational e</w:t>
      </w:r>
      <w:r w:rsidR="008014C1">
        <w:t>fficiency and interpretability.</w:t>
      </w:r>
    </w:p>
    <w:p w:rsidR="008B5B55" w:rsidRPr="007D6835" w:rsidRDefault="009E1119" w:rsidP="007D6835">
      <w:r w:rsidRPr="007D6835">
        <w:t>2.2 Machine Learning Models for Predictive Pricing</w:t>
      </w:r>
    </w:p>
    <w:p w:rsidR="008B5B55" w:rsidRPr="007D6835" w:rsidRDefault="009E1119" w:rsidP="007D6835">
      <w:r w:rsidRPr="007D6835">
        <w:t>A growing body of empirical work compares supervised learning algorithms (e.g., linear models, Random Forest, XGBoost) and deep learn</w:t>
      </w:r>
      <w:r w:rsidRPr="007D6835">
        <w:t>ing models (e.g., LSTM, temporal CNNs) for demand and price response modeling. Ensemble methods such as XGBoost frequently excel on tabular retail datasets due to their ability to model nonlinear feature interactions and their robustness to small-to-modera</w:t>
      </w:r>
      <w:r w:rsidRPr="007D6835">
        <w:t>te data sizes (Uhunmwangho, 2024). LSTM and other recurrent architectures perform strongly when high-frequency temporal structure or long-range seasonality is present (Apte et a</w:t>
      </w:r>
      <w:r w:rsidR="007D6835">
        <w:t>l., 2024). Hybrid architectures-</w:t>
      </w:r>
      <w:r w:rsidRPr="007D6835">
        <w:t>combining feature-based models (XGBoost) with s</w:t>
      </w:r>
      <w:r w:rsidR="007D6835">
        <w:t>equence models (LSTM)-</w:t>
      </w:r>
      <w:r w:rsidRPr="007D6835">
        <w:t>have been proposed to leverage the strengths of both paradigms and have shown promising results in recent studies (Hybrid frameworks, 2024–2025).</w:t>
      </w:r>
      <w:r w:rsidR="009A6140" w:rsidRPr="007D6835">
        <w:t xml:space="preserve"> For instance, Uhunmwangho (2024) reported that XGBoost achieved 15–20% lower RMSE than traditional regressi</w:t>
      </w:r>
      <w:r w:rsidR="00801947">
        <w:t>on in retail price forecasting.</w:t>
      </w:r>
    </w:p>
    <w:p w:rsidR="008B5B55" w:rsidRPr="007D6835" w:rsidRDefault="009E1119" w:rsidP="007D6835">
      <w:r w:rsidRPr="007D6835">
        <w:t>Model selection for SME contexts demands attention to computational cost, tuning complex</w:t>
      </w:r>
      <w:r w:rsidRPr="007D6835">
        <w:t>ity, and interpretability. Tree ensembles require less hyper</w:t>
      </w:r>
      <w:r w:rsidR="00512C78">
        <w:t xml:space="preserve"> </w:t>
      </w:r>
      <w:r w:rsidRPr="007D6835">
        <w:t>parameter tuning and often train faster on CPUs than deep networks; however, sequence models may be necessary when promotional cadence or lead time effects dominate demand behaviour. Cross-validat</w:t>
      </w:r>
      <w:r w:rsidRPr="007D6835">
        <w:t>ion strategies and error metrics (MAE, RMSE) remain standard for robust evaluation (Perumallaplli, 2025).</w:t>
      </w:r>
    </w:p>
    <w:p w:rsidR="008B5B55" w:rsidRPr="007D6835" w:rsidRDefault="009E1119" w:rsidP="007D6835">
      <w:r w:rsidRPr="007D6835">
        <w:t>2.3 Barriers to SME Adoption of Predictive Pricing</w:t>
      </w:r>
    </w:p>
    <w:p w:rsidR="008B5B55" w:rsidRPr="007D6835" w:rsidRDefault="009E1119" w:rsidP="007D6835">
      <w:r w:rsidRPr="007D6835">
        <w:t>Although the benefits of AI-driven pricing are well-documented, SMEs face three core barriers: limi</w:t>
      </w:r>
      <w:r w:rsidRPr="007D6835">
        <w:t>ted data availability, resource constraints, and governance/trust issues. First, many SMEs lack sufficiently large or granular transaction logs to train complex models; synthetic data augmentation and transfer learning are practical mitigations (Nowak, 202</w:t>
      </w:r>
      <w:r w:rsidRPr="007D6835">
        <w:t>4). Second, infrastructure and per</w:t>
      </w:r>
      <w:r w:rsidR="007D6835">
        <w:t>sonnel costs can be prohibitive-</w:t>
      </w:r>
      <w:r w:rsidRPr="007D6835">
        <w:t>surveys report that cost and technical complexity are major factors slowing SME AI adoption (Economic Times, 2024; Sánchez et al., 2025). Third, model opacity erodes managerial confidence an</w:t>
      </w:r>
      <w:r w:rsidRPr="007D6835">
        <w:t>d can raise legal/ethical concerns—particularly if algorithms implicitly produce discriminatory pricing outcomes. These challenges motivate lightweight, interpretable model stacks and tooling that make recommendations auditable (Vimbi, 2024; ArXiv XAI surv</w:t>
      </w:r>
      <w:r w:rsidRPr="007D6835">
        <w:t>ey, 2023).</w:t>
      </w:r>
    </w:p>
    <w:p w:rsidR="008B5B55" w:rsidRPr="007D6835" w:rsidRDefault="009E1119" w:rsidP="007D6835">
      <w:r w:rsidRPr="007D6835">
        <w:t>2.4 Explainable AI (XAI) in Revenue Management</w:t>
      </w:r>
    </w:p>
    <w:p w:rsidR="008B5B55" w:rsidRPr="007D6835" w:rsidRDefault="009E1119" w:rsidP="007D6835">
      <w:r w:rsidRPr="007D6835">
        <w:lastRenderedPageBreak/>
        <w:t>Explainability is crucial for pricing systems because decisions directly affect customers and may be subject to regulatory oversight. SHAP and LIME remain two of the most used XAI approaches for tab</w:t>
      </w:r>
      <w:r w:rsidRPr="007D6835">
        <w:t>ular models, offering global and local explanations respectively (Salih et al., 2023; Lundberg &amp; Lee, 2017). Systematic reviews find that while SHAP provides consistent global attribution, both methods can be sensitive to feature collinearity and model cho</w:t>
      </w:r>
      <w:r w:rsidR="00512C78">
        <w:t>ice-</w:t>
      </w:r>
      <w:r w:rsidRPr="007D6835">
        <w:t>issues that must be acknowledged when communicating explanations to stakeholders (Vimbi, 2024). Use cases in revenue management demonstrate that XAI increases managerial trust, improves debugging of pricing anomalies, and supports regulatory transparen</w:t>
      </w:r>
      <w:r w:rsidRPr="007D6835">
        <w:t>cy (Mohammed, 2024; Hermosilla et al., 2025).</w:t>
      </w:r>
      <w:r w:rsidR="009A6140" w:rsidRPr="007D6835">
        <w:t xml:space="preserve"> Recent work has also introduced DeepSHAP and counterfactual reasoning for multi-layer neural architect</w:t>
      </w:r>
      <w:r w:rsidR="003E0298" w:rsidRPr="007D6835">
        <w:t>ures (Hermosilla et al., 2025). While explainable AI enhances trust and transparency, the intersection of XAI and hybrid ML models for SMEs remains underexplored, highlighting a crucial research gap this study aims to address.</w:t>
      </w:r>
    </w:p>
    <w:p w:rsidR="008B5B55" w:rsidRPr="007D6835" w:rsidRDefault="009E1119" w:rsidP="007D6835">
      <w:r w:rsidRPr="007D6835">
        <w:t>2.5 Research Gap and Contribution</w:t>
      </w:r>
    </w:p>
    <w:p w:rsidR="008B5B55" w:rsidRPr="007D6835" w:rsidRDefault="009E1119" w:rsidP="007D6835">
      <w:r w:rsidRPr="007D6835">
        <w:t>Despite rapid advances, a gap persists: few studies systematically integrate hybrid ML architectures with XAI, designed specifically for constrained SME contexts. Most literatu</w:t>
      </w:r>
      <w:r w:rsidRPr="007D6835">
        <w:t>re emphasizes accuracy over interpretability or assumes enterprise-scale data. This paper contributes by proposing and evaluating a h</w:t>
      </w:r>
      <w:r w:rsidR="00512C78">
        <w:t>ybrid, resource-aware framework-</w:t>
      </w:r>
      <w:r w:rsidRPr="007D6835">
        <w:t>co</w:t>
      </w:r>
      <w:r w:rsidRPr="007D6835">
        <w:t>mbining RF/XGBoost/LSTM models with SHAP/LIME explanations and lightweight deployment rec</w:t>
      </w:r>
      <w:r w:rsidR="00512C78">
        <w:t>ommendations-</w:t>
      </w:r>
      <w:r w:rsidRPr="007D6835">
        <w:t>bridging performance, interpretability, and SME practicality.</w:t>
      </w:r>
      <w:r w:rsidR="003E0298" w:rsidRPr="007D6835">
        <w:t xml:space="preserve"> By integrating interpretable ensemble-deep hybrid architectures within SME resource constraints, this study pioneers an operationally feasible</w:t>
      </w:r>
      <w:r w:rsidR="00512C78">
        <w:t xml:space="preserve"> pathway for predictive pricing-</w:t>
      </w:r>
      <w:r w:rsidR="003E0298" w:rsidRPr="007D6835">
        <w:t>bridging the gap between algorithmic performance and managerial trust</w:t>
      </w:r>
    </w:p>
    <w:p w:rsidR="008B5B55" w:rsidRPr="007D6835" w:rsidRDefault="008B5B55" w:rsidP="007D6835"/>
    <w:p w:rsidR="008B5B55" w:rsidRPr="007D6835" w:rsidRDefault="008B5B55" w:rsidP="007D6835"/>
    <w:p w:rsidR="00801947" w:rsidRDefault="009E1119" w:rsidP="00801947">
      <w:pPr>
        <w:keepNext/>
      </w:pPr>
      <w:r w:rsidRPr="007D6835">
        <w:lastRenderedPageBreak/>
        <w:drawing>
          <wp:inline distT="0" distB="0" distL="0" distR="0">
            <wp:extent cx="5558320" cy="316403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D_digital_diagram_illustrates_predictive_analyt.png"/>
                    <pic:cNvPicPr/>
                  </pic:nvPicPr>
                  <pic:blipFill>
                    <a:blip r:embed="rId9"/>
                    <a:stretch>
                      <a:fillRect/>
                    </a:stretch>
                  </pic:blipFill>
                  <pic:spPr>
                    <a:xfrm>
                      <a:off x="0" y="0"/>
                      <a:ext cx="5566035" cy="3168427"/>
                    </a:xfrm>
                    <a:prstGeom prst="rect">
                      <a:avLst/>
                    </a:prstGeom>
                  </pic:spPr>
                </pic:pic>
              </a:graphicData>
            </a:graphic>
          </wp:inline>
        </w:drawing>
      </w:r>
    </w:p>
    <w:p w:rsidR="008B5B55" w:rsidRPr="00801947" w:rsidRDefault="00801947" w:rsidP="00801947">
      <w:pPr>
        <w:pStyle w:val="Caption"/>
        <w:jc w:val="center"/>
        <w:rPr>
          <w:i/>
          <w:sz w:val="22"/>
          <w:szCs w:val="22"/>
        </w:rPr>
      </w:pPr>
      <w:r w:rsidRPr="00801947">
        <w:rPr>
          <w:i/>
          <w:sz w:val="22"/>
          <w:szCs w:val="22"/>
        </w:rPr>
        <w:t xml:space="preserve">Figure </w:t>
      </w:r>
      <w:r w:rsidRPr="00801947">
        <w:rPr>
          <w:i/>
          <w:sz w:val="22"/>
          <w:szCs w:val="22"/>
        </w:rPr>
        <w:fldChar w:fldCharType="begin"/>
      </w:r>
      <w:r w:rsidRPr="00801947">
        <w:rPr>
          <w:i/>
          <w:sz w:val="22"/>
          <w:szCs w:val="22"/>
        </w:rPr>
        <w:instrText xml:space="preserve"> SEQ Figure \* ARABIC </w:instrText>
      </w:r>
      <w:r w:rsidRPr="00801947">
        <w:rPr>
          <w:i/>
          <w:sz w:val="22"/>
          <w:szCs w:val="22"/>
        </w:rPr>
        <w:fldChar w:fldCharType="separate"/>
      </w:r>
      <w:r w:rsidR="00E07358">
        <w:rPr>
          <w:i/>
          <w:noProof/>
          <w:sz w:val="22"/>
          <w:szCs w:val="22"/>
        </w:rPr>
        <w:t>2</w:t>
      </w:r>
      <w:r w:rsidRPr="00801947">
        <w:rPr>
          <w:i/>
          <w:sz w:val="22"/>
          <w:szCs w:val="22"/>
        </w:rPr>
        <w:fldChar w:fldCharType="end"/>
      </w:r>
      <w:r w:rsidRPr="00801947">
        <w:rPr>
          <w:i/>
          <w:sz w:val="22"/>
          <w:szCs w:val="22"/>
        </w:rPr>
        <w:t>: Predictive Analytics Framework for Pricing Optimization (Data → Predictive Model → Pricing Strategies → Revenue Optimization).</w:t>
      </w:r>
    </w:p>
    <w:p w:rsidR="00943024" w:rsidRPr="007D6835" w:rsidRDefault="00943024" w:rsidP="007D6835">
      <w:r w:rsidRPr="007D6835">
        <w:t>Overall, the literature undersc</w:t>
      </w:r>
      <w:r w:rsidR="007D6835">
        <w:t>ores the potential of hybrid ML-</w:t>
      </w:r>
      <w:r w:rsidRPr="007D6835">
        <w:t>XAI systems for SME pricing but lacks empirically validated frameworks integrating interpr</w:t>
      </w:r>
      <w:r w:rsidR="00512C78">
        <w:t>etability with cost-efficiency.</w:t>
      </w:r>
    </w:p>
    <w:p w:rsidR="00890C31" w:rsidRPr="007D6835" w:rsidRDefault="00890C31" w:rsidP="007D6835">
      <w:r w:rsidRPr="007D6835">
        <w:t xml:space="preserve">In summary, while prior studies highlight the potential of hybrid AI-driven pricing frameworks, there remains a critical need for interpretable, cost-efficient systems that align with SME resource constraints and ethical AI principles. This study addresses that gap by proposing a transparent, hybrid predictive </w:t>
      </w:r>
      <w:r w:rsidR="00512C78">
        <w:t>model for pricing optimization.</w:t>
      </w:r>
    </w:p>
    <w:p w:rsidR="00E40A60" w:rsidRPr="00E40A60" w:rsidRDefault="002701BD" w:rsidP="00E40A60">
      <w:pPr>
        <w:rPr>
          <w:b/>
        </w:rPr>
      </w:pPr>
      <w:r>
        <w:rPr>
          <w:b/>
        </w:rPr>
        <w:t>3</w:t>
      </w:r>
      <w:r w:rsidR="00E40A60" w:rsidRPr="00E40A60">
        <w:rPr>
          <w:b/>
        </w:rPr>
        <w:t>. Methodology</w:t>
      </w:r>
    </w:p>
    <w:p w:rsidR="00970BB6" w:rsidRPr="00970BB6" w:rsidRDefault="00970BB6" w:rsidP="00970BB6">
      <w:r w:rsidRPr="00970BB6">
        <w:t>This study employs a structured, multi-stage predictive analytics framework to optimize pricing and revenue outcomes using a scientifically simulated retail dataset. The methodology integrates data generation, preprocessing, machine learning model development, time series deep learning, and explainable AI visualization techniques into a cohesive workflow. Implemented entirely in Python using libraries such as TensorFlow, Scikit-learn, XGBoost, SHAP, and LIME, the experimental setup ensures reproducibility, scalability, and transparency (Lundberg &amp; Lee, 2023; Ribeiro et al., 2016; Chen &amp; Guestrin, 2016).</w:t>
      </w:r>
    </w:p>
    <w:p w:rsidR="00970BB6" w:rsidRPr="00970BB6" w:rsidRDefault="008A42F6" w:rsidP="00970BB6">
      <w:r>
        <w:t>Synthetic data was used due to limited open-source SME retail datasets and to control experimental noise w</w:t>
      </w:r>
      <w:r>
        <w:t>hile preserving realistic price-</w:t>
      </w:r>
      <w:r>
        <w:t>demand correlation</w:t>
      </w:r>
      <w:r>
        <w:t xml:space="preserve">s. </w:t>
      </w:r>
      <w:r w:rsidR="00970BB6" w:rsidRPr="00970BB6">
        <w:lastRenderedPageBreak/>
        <w:t>The research adopts a comprehensive hybrid framework that combines multiple machine learning algorithms</w:t>
      </w:r>
      <w:r w:rsidR="00970BB6">
        <w:t>-</w:t>
      </w:r>
      <w:r w:rsidR="00970BB6" w:rsidRPr="00970BB6">
        <w:t>including Random Forest (Breiman, 2001) and XGBoost</w:t>
      </w:r>
      <w:r w:rsidR="00970BB6">
        <w:t xml:space="preserve"> (Chen &amp; Guestrin, 2016)-</w:t>
      </w:r>
      <w:r w:rsidR="00970BB6" w:rsidRPr="00970BB6">
        <w:t>alongside deep learning models such as Long Short-Term Memory (LSTM) networks (Hochreiter &amp; Schmidhuber, 1997). This integration supports data-driven pricing and revenue forecasting decisions in retail and e-commerce contexts (Basal et al., 2024; Nowak, 2024).</w:t>
      </w:r>
    </w:p>
    <w:p w:rsidR="00970BB6" w:rsidRDefault="00970BB6" w:rsidP="00970BB6">
      <w:r w:rsidRPr="00970BB6">
        <w:t>The overall workflow is structured into four sequential stages:</w:t>
      </w:r>
    </w:p>
    <w:p w:rsidR="00970BB6" w:rsidRDefault="00970BB6" w:rsidP="00970BB6">
      <w:pPr>
        <w:pStyle w:val="ListParagraph"/>
        <w:numPr>
          <w:ilvl w:val="0"/>
          <w:numId w:val="21"/>
        </w:numPr>
      </w:pPr>
      <w:r w:rsidRPr="00970BB6">
        <w:t>Data Generation and Preprocessing – constructing and preparing synthetic retail data to reflect realistic market behavior, following the statistical best practices outlined by Hyndman &amp; Athanasopoulos (2021);</w:t>
      </w:r>
    </w:p>
    <w:p w:rsidR="00970BB6" w:rsidRDefault="00970BB6" w:rsidP="00970BB6">
      <w:pPr>
        <w:pStyle w:val="ListParagraph"/>
        <w:numPr>
          <w:ilvl w:val="0"/>
          <w:numId w:val="21"/>
        </w:numPr>
      </w:pPr>
      <w:r w:rsidRPr="00970BB6">
        <w:t>Model Development – implementing supervised ensemble and sequential learning models optimized for predictive performance and generalization;</w:t>
      </w:r>
    </w:p>
    <w:p w:rsidR="00970BB6" w:rsidRDefault="00970BB6" w:rsidP="00970BB6">
      <w:pPr>
        <w:pStyle w:val="ListParagraph"/>
        <w:numPr>
          <w:ilvl w:val="0"/>
          <w:numId w:val="21"/>
        </w:numPr>
      </w:pPr>
      <w:r w:rsidRPr="00970BB6">
        <w:t>Explainability and Interpretability – applying XAI tools such as SHAP and LIME to ensure interpretability and transparency (Lundberg &amp; Lee, 2023; Ribeiro et al., 2016); and</w:t>
      </w:r>
    </w:p>
    <w:p w:rsidR="00970BB6" w:rsidRPr="00970BB6" w:rsidRDefault="00970BB6" w:rsidP="00970BB6">
      <w:pPr>
        <w:pStyle w:val="ListParagraph"/>
        <w:numPr>
          <w:ilvl w:val="0"/>
          <w:numId w:val="21"/>
        </w:numPr>
      </w:pPr>
      <w:r w:rsidRPr="00970BB6">
        <w:t>Evaluation and Visualization – assessing model accuracy and stability through standardized metrics including MAE, RMSE, R², and Revenue Uplift Percentage (RUP) (Hyndman &amp; Athanasopoulos, 2021).</w:t>
      </w:r>
    </w:p>
    <w:p w:rsidR="00970BB6" w:rsidRPr="00970BB6" w:rsidRDefault="00970BB6" w:rsidP="00970BB6">
      <w:r w:rsidRPr="00970BB6">
        <w:t>This integrated methodological structure ensures a balanced focus on accuracy, interpretability, and ethical AI alignment, providing a robust foundation for predictive pricing research consistent with the principles of ethical and transparent AI advocated by the IEEE Global Initiative (2024) and OECD (2023).</w:t>
      </w:r>
    </w:p>
    <w:p w:rsidR="00970BB6" w:rsidRDefault="00E40A60" w:rsidP="00E40A60">
      <w:r>
        <w:br/>
      </w:r>
      <w:r w:rsidR="002701BD">
        <w:br/>
        <w:t>3</w:t>
      </w:r>
      <w:r>
        <w:t>.1 Data Generation</w:t>
      </w:r>
    </w:p>
    <w:p w:rsidR="002701BD" w:rsidRDefault="00E40A60" w:rsidP="00E40A60">
      <w:r>
        <w:br/>
      </w:r>
      <w:r w:rsidR="00970BB6" w:rsidRPr="00970BB6">
        <w:t>A synthetic retail dataset was generated to simulate realistic price–demand dynamics and consumer behaviors over 1,200 days for one product. Each record encapsulated features such as price, discount, rival pricing, marketing spend, elasticity, weather events, and seasonality. This simulation mimics real-world variations in demand influenced by economic and environmental factors (Nguyen et al., 2023).</w:t>
      </w:r>
      <w:r w:rsidR="00970BB6" w:rsidRPr="00970BB6">
        <w:br/>
        <w:t xml:space="preserve">Feature scaling was conducted using </w:t>
      </w:r>
      <w:r w:rsidR="00970BB6">
        <w:t>Min-</w:t>
      </w:r>
      <w:r w:rsidR="00970BB6" w:rsidRPr="00970BB6">
        <w:t xml:space="preserve">Max normalization and StandardScaler to ensure consistent feature ranges and improve convergence rates during training (Han et al., 2022). Missing values were imputed with median substitution, and irrelevant identifiers (e.g., date, product ID) were removed to prevent bias in model </w:t>
      </w:r>
      <w:r w:rsidR="00970BB6" w:rsidRPr="00970BB6">
        <w:lastRenderedPageBreak/>
        <w:t>learning.</w:t>
      </w:r>
      <w:r>
        <w:br/>
        <w:t>The preprocessing pipeline included the following steps:</w:t>
      </w:r>
    </w:p>
    <w:p w:rsidR="002701BD" w:rsidRDefault="00E40A60" w:rsidP="002701BD">
      <w:pPr>
        <w:pStyle w:val="ListParagraph"/>
        <w:numPr>
          <w:ilvl w:val="0"/>
          <w:numId w:val="22"/>
        </w:numPr>
      </w:pPr>
      <w:r>
        <w:t>Removal of non-predictive identifiers (d</w:t>
      </w:r>
      <w:r w:rsidR="002701BD">
        <w:t>ate, product ID, units_sold).</w:t>
      </w:r>
    </w:p>
    <w:p w:rsidR="002701BD" w:rsidRDefault="00E40A60" w:rsidP="002701BD">
      <w:pPr>
        <w:pStyle w:val="ListParagraph"/>
        <w:numPr>
          <w:ilvl w:val="0"/>
          <w:numId w:val="22"/>
        </w:numPr>
      </w:pPr>
      <w:r>
        <w:t>Median imputatio</w:t>
      </w:r>
      <w:r w:rsidR="002701BD">
        <w:t>n for missing values.</w:t>
      </w:r>
    </w:p>
    <w:p w:rsidR="002701BD" w:rsidRDefault="00E40A60" w:rsidP="002701BD">
      <w:pPr>
        <w:pStyle w:val="ListParagraph"/>
        <w:numPr>
          <w:ilvl w:val="0"/>
          <w:numId w:val="22"/>
        </w:numPr>
      </w:pPr>
      <w:r>
        <w:t xml:space="preserve"> Normalization using Min-Max Scaling for neural models and Standard </w:t>
      </w:r>
      <w:r w:rsidR="002701BD">
        <w:t>Scaling for ensemble methods.</w:t>
      </w:r>
    </w:p>
    <w:p w:rsidR="002701BD" w:rsidRDefault="00E40A60" w:rsidP="002701BD">
      <w:pPr>
        <w:pStyle w:val="ListParagraph"/>
        <w:numPr>
          <w:ilvl w:val="0"/>
          <w:numId w:val="22"/>
        </w:numPr>
      </w:pPr>
      <w:r>
        <w:t>Splitting data into 80% training and 20% testing subsets (Train/Test: (960, 9) / (240, 9)).</w:t>
      </w:r>
    </w:p>
    <w:p w:rsidR="00E40A60" w:rsidRDefault="002701BD" w:rsidP="00767738">
      <w:r>
        <w:t>A correlation heatmap (Figure 3</w:t>
      </w:r>
      <w:r w:rsidR="00E40A60">
        <w:t>.1) was generated to visualize inter-feature relationships, aiding in feature selection and understanding potential multicollinearity effects.</w:t>
      </w:r>
    </w:p>
    <w:p w:rsidR="00E40A60" w:rsidRPr="00E40A60" w:rsidRDefault="00E40A60" w:rsidP="00E40A60">
      <w:pPr>
        <w:spacing w:after="0" w:line="240" w:lineRule="auto"/>
        <w:rPr>
          <w:rFonts w:ascii="Times New Roman" w:eastAsia="Times New Roman" w:hAnsi="Times New Roman" w:cs="Times New Roman"/>
          <w:szCs w:val="24"/>
        </w:rPr>
      </w:pPr>
    </w:p>
    <w:p w:rsidR="002701BD" w:rsidRDefault="00E40A60" w:rsidP="002701BD">
      <w:pPr>
        <w:keepNext/>
      </w:pPr>
      <w:r>
        <w:lastRenderedPageBreak/>
        <w:br/>
      </w:r>
      <w:bookmarkStart w:id="0" w:name="_GoBack"/>
      <w:r w:rsidRPr="00E40A60">
        <w:rPr>
          <w:noProof/>
        </w:rPr>
        <w:drawing>
          <wp:inline distT="0" distB="0" distL="0" distR="0" wp14:anchorId="4C0CFB32" wp14:editId="290D9158">
            <wp:extent cx="6153418" cy="5137078"/>
            <wp:effectExtent l="0" t="0" r="0" b="6985"/>
            <wp:docPr id="11" name="Picture 11" descr="C:\Users\JIMMY\AppData\Local\Microsoft\Windows\INetCache\Content.MSO\7BF552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IMMY\AppData\Local\Microsoft\Windows\INetCache\Content.MSO\7BF5528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0442" cy="5159638"/>
                    </a:xfrm>
                    <a:prstGeom prst="rect">
                      <a:avLst/>
                    </a:prstGeom>
                    <a:noFill/>
                    <a:ln>
                      <a:noFill/>
                    </a:ln>
                  </pic:spPr>
                </pic:pic>
              </a:graphicData>
            </a:graphic>
          </wp:inline>
        </w:drawing>
      </w:r>
      <w:bookmarkEnd w:id="0"/>
    </w:p>
    <w:p w:rsidR="00E40A60" w:rsidRPr="002701BD" w:rsidRDefault="002701BD" w:rsidP="002701BD">
      <w:pPr>
        <w:pStyle w:val="Caption"/>
        <w:jc w:val="center"/>
        <w:rPr>
          <w:i/>
          <w:sz w:val="22"/>
          <w:szCs w:val="22"/>
        </w:rPr>
      </w:pPr>
      <w:r w:rsidRPr="002701BD">
        <w:rPr>
          <w:i/>
          <w:sz w:val="22"/>
          <w:szCs w:val="22"/>
        </w:rPr>
        <w:t>Figure 3.1: Feature Correlation Heatmap – generated via Seaborn visualization</w:t>
      </w:r>
    </w:p>
    <w:p w:rsidR="00D42B83" w:rsidRDefault="00E40A60" w:rsidP="00E40A60">
      <w:r>
        <w:br/>
      </w:r>
      <w:r w:rsidR="002701BD">
        <w:t>3</w:t>
      </w:r>
      <w:r w:rsidR="00D42B83">
        <w:t>.2</w:t>
      </w:r>
      <w:r>
        <w:t xml:space="preserve"> Model Development</w:t>
      </w:r>
    </w:p>
    <w:p w:rsidR="00D42B83" w:rsidRDefault="00E40A60" w:rsidP="00E40A60">
      <w:r>
        <w:br/>
        <w:t>Four predictive models were developed and compared as part of this study:</w:t>
      </w:r>
      <w:r>
        <w:br/>
        <w:t>1. Linear Regression (Baseline) – Establishes a benchmark for performance comparison.</w:t>
      </w:r>
      <w:r>
        <w:br/>
        <w:t>2. Random Forest Regressor – An ensemble model with 200 estimators and maximum depth of 12, effective for non-linear interactions.</w:t>
      </w:r>
      <w:r>
        <w:br/>
        <w:t>3. XGBoost Regressor – A gradient-boosted decision tree model with 250 estimators, learning rate = 0.1, and subsample ratio = 0.8.</w:t>
      </w:r>
      <w:r>
        <w:br/>
        <w:t xml:space="preserve">4. LSTM (Long Short-Term Memory) – A deep recurrent neural network designed to </w:t>
      </w:r>
      <w:r>
        <w:lastRenderedPageBreak/>
        <w:t>capture temporal dependencies over a 30-day rolling window. The model consisted of two stacked LSTM layers (64 units each), dropout regularization (0.2), and was trained for 50 epochs using early stopping.</w:t>
      </w:r>
      <w:r w:rsidR="00D42B83" w:rsidRPr="00D42B83">
        <w:t xml:space="preserve"> </w:t>
      </w:r>
      <w:r w:rsidR="00D42B83">
        <w:t>Early stopping was applied to prevent excessive training epochs and minimize validation loss (Hochreiter &amp; Schmidhuber, 1997; Goodfellow et al., 2016).</w:t>
      </w:r>
      <w:r>
        <w:br/>
        <w:t>All models were implemented using the Scikit-learn, XGBoost, and TensorFlow Keras frameworks.</w:t>
      </w:r>
      <w:r>
        <w:br/>
      </w:r>
      <w:r w:rsidR="002701BD">
        <w:br/>
        <w:t>3</w:t>
      </w:r>
      <w:r w:rsidR="00D42B83">
        <w:t>.3</w:t>
      </w:r>
      <w:r>
        <w:t xml:space="preserve"> Model Evaluation Metrics</w:t>
      </w:r>
    </w:p>
    <w:p w:rsidR="002701BD" w:rsidRDefault="00E40A60" w:rsidP="00E40A60">
      <w:r>
        <w:br/>
        <w:t>Model performance was evaluated using the following standard metrics:</w:t>
      </w:r>
      <w:r>
        <w:br/>
        <w:t>- Mean Absolute Error (MAE) – measures the average magnitude of prediction errors.</w:t>
      </w:r>
      <w:r>
        <w:br/>
        <w:t>- Root Mean Squared Error (RMSE) – provides a penalized measure for large deviations.</w:t>
      </w:r>
      <w:r>
        <w:br/>
        <w:t>- Revenue Uplift Percentage (RUP) – quantifies the percentage improvement in RMSE compared to the baseline Linear Regression model.</w:t>
      </w:r>
      <w:r>
        <w:br/>
        <w:t>These metrics quantify both the predictive accuracy and stability of each model in estimating re</w:t>
      </w:r>
      <w:r w:rsidR="002701BD">
        <w:t>venue outcomes.</w:t>
      </w:r>
      <w:r w:rsidR="002701BD">
        <w:br/>
      </w:r>
      <w:r w:rsidR="002701BD">
        <w:br/>
        <w:t>3</w:t>
      </w:r>
      <w:r w:rsidR="00D42B83">
        <w:t>.4</w:t>
      </w:r>
      <w:r>
        <w:t xml:space="preserve"> Explainable AI (SHAP and LIME)</w:t>
      </w:r>
    </w:p>
    <w:p w:rsidR="002E6827" w:rsidRDefault="00E40A60" w:rsidP="00E40A60">
      <w:r>
        <w:br/>
        <w:t>To enhance interpretability and transparency of model outputs, two post-hoc explainability tech</w:t>
      </w:r>
      <w:r>
        <w:t>niques were employed:</w:t>
      </w:r>
      <w:r>
        <w:br/>
        <w:t>- SHAP (Shapley Additive expl</w:t>
      </w:r>
      <w:r>
        <w:t>anations): Used to compute global feature importance and visualize feature-level contributions. The SHAP summary and bar plots were successfully generated in most runs, identifying price, discount, and rival_price as the most influential predictors. However, a known XGBoost formatting issue occasionally caused skipped SHAP computations.</w:t>
      </w:r>
      <w:r>
        <w:br/>
        <w:t xml:space="preserve">- LIME (Local Interpretable Model-Agnostic Explanations): Generated localized feature explanations for </w:t>
      </w:r>
      <w:r w:rsidR="002E6827">
        <w:t xml:space="preserve">Random Forest predictions. </w:t>
      </w:r>
    </w:p>
    <w:p w:rsidR="002E6827" w:rsidRPr="002E6827" w:rsidRDefault="002E6827" w:rsidP="002E6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701BD" w:rsidRDefault="002E6827" w:rsidP="002701BD">
      <w:pPr>
        <w:keepNext/>
        <w:spacing w:after="0" w:line="240" w:lineRule="auto"/>
      </w:pPr>
      <w:r w:rsidRPr="002E6827">
        <w:rPr>
          <w:noProof/>
        </w:rPr>
        <w:lastRenderedPageBreak/>
        <w:drawing>
          <wp:inline distT="0" distB="0" distL="0" distR="0">
            <wp:extent cx="6020657" cy="5219065"/>
            <wp:effectExtent l="0" t="0" r="0" b="635"/>
            <wp:docPr id="15" name="Picture 15" descr="C:\Users\JIMMY\AppData\Local\Microsoft\Windows\INetCache\Content.MSO\7ACF6C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JIMMY\AppData\Local\Microsoft\Windows\INetCache\Content.MSO\7ACF6C0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830" cy="5229618"/>
                    </a:xfrm>
                    <a:prstGeom prst="rect">
                      <a:avLst/>
                    </a:prstGeom>
                    <a:noFill/>
                    <a:ln>
                      <a:noFill/>
                    </a:ln>
                  </pic:spPr>
                </pic:pic>
              </a:graphicData>
            </a:graphic>
          </wp:inline>
        </w:drawing>
      </w:r>
    </w:p>
    <w:p w:rsidR="002E6827" w:rsidRPr="00E07358" w:rsidRDefault="002701BD" w:rsidP="00E07358">
      <w:pPr>
        <w:pStyle w:val="Caption"/>
        <w:jc w:val="center"/>
        <w:rPr>
          <w:rFonts w:ascii="Times New Roman" w:eastAsia="Times New Roman" w:hAnsi="Times New Roman" w:cs="Times New Roman"/>
          <w:i/>
          <w:sz w:val="22"/>
          <w:szCs w:val="22"/>
        </w:rPr>
      </w:pPr>
      <w:r w:rsidRPr="00E07358">
        <w:rPr>
          <w:i/>
          <w:sz w:val="22"/>
          <w:szCs w:val="22"/>
        </w:rPr>
        <w:t>Figure 3.2: Random Forest Feature Importance Plot</w:t>
      </w:r>
    </w:p>
    <w:p w:rsidR="002E6827" w:rsidRPr="002E6827" w:rsidRDefault="002E6827" w:rsidP="002E6827">
      <w:pPr>
        <w:spacing w:after="0" w:line="240" w:lineRule="auto"/>
        <w:rPr>
          <w:rFonts w:ascii="Times New Roman" w:eastAsia="Times New Roman" w:hAnsi="Times New Roman" w:cs="Times New Roman"/>
          <w:szCs w:val="24"/>
        </w:rPr>
      </w:pPr>
      <w:r>
        <w:t xml:space="preserve">                            </w:t>
      </w:r>
    </w:p>
    <w:p w:rsidR="00E07358" w:rsidRDefault="002E6827" w:rsidP="00E07358">
      <w:pPr>
        <w:keepNext/>
        <w:spacing w:after="0" w:line="240" w:lineRule="auto"/>
      </w:pPr>
      <w:r w:rsidRPr="002E6827">
        <w:rPr>
          <w:noProof/>
        </w:rPr>
        <w:lastRenderedPageBreak/>
        <w:drawing>
          <wp:inline distT="0" distB="0" distL="0" distR="0">
            <wp:extent cx="6115009" cy="5137079"/>
            <wp:effectExtent l="0" t="0" r="635" b="6985"/>
            <wp:docPr id="14" name="Picture 14" descr="C:\Users\JIMMY\AppData\Local\Microsoft\Windows\INetCache\Content.MSO\8380C8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IMMY\AppData\Local\Microsoft\Windows\INetCache\Content.MSO\8380C80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3355" cy="5152491"/>
                    </a:xfrm>
                    <a:prstGeom prst="rect">
                      <a:avLst/>
                    </a:prstGeom>
                    <a:noFill/>
                    <a:ln>
                      <a:noFill/>
                    </a:ln>
                  </pic:spPr>
                </pic:pic>
              </a:graphicData>
            </a:graphic>
          </wp:inline>
        </w:drawing>
      </w:r>
    </w:p>
    <w:p w:rsidR="002E6827" w:rsidRPr="002E6827" w:rsidRDefault="00E07358" w:rsidP="00E07358">
      <w:pPr>
        <w:pStyle w:val="Caption"/>
        <w:jc w:val="center"/>
        <w:rPr>
          <w:rFonts w:ascii="Times New Roman" w:eastAsia="Times New Roman" w:hAnsi="Times New Roman" w:cs="Times New Roman"/>
          <w:i/>
          <w:sz w:val="22"/>
          <w:szCs w:val="22"/>
        </w:rPr>
      </w:pPr>
      <w:r w:rsidRPr="00E07358">
        <w:rPr>
          <w:i/>
          <w:sz w:val="22"/>
          <w:szCs w:val="22"/>
        </w:rPr>
        <w:t>Figure 3.4: LSTM Training Curves.</w:t>
      </w:r>
    </w:p>
    <w:p w:rsidR="002E6827" w:rsidRPr="002E6827" w:rsidRDefault="002E6827" w:rsidP="002E6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p>
    <w:p w:rsidR="002E6827" w:rsidRPr="002E6827" w:rsidRDefault="002E6827" w:rsidP="002E6827">
      <w:pPr>
        <w:spacing w:after="0" w:line="240" w:lineRule="auto"/>
        <w:rPr>
          <w:rFonts w:ascii="Times New Roman" w:eastAsia="Times New Roman" w:hAnsi="Times New Roman" w:cs="Times New Roman"/>
          <w:szCs w:val="24"/>
        </w:rPr>
      </w:pPr>
      <w:r w:rsidRPr="002E6827">
        <w:rPr>
          <w:noProof/>
        </w:rPr>
        <w:lastRenderedPageBreak/>
        <w:drawing>
          <wp:inline distT="0" distB="0" distL="0" distR="0">
            <wp:extent cx="6305550" cy="4140485"/>
            <wp:effectExtent l="0" t="0" r="0" b="0"/>
            <wp:docPr id="13" name="Picture 13" descr="C:\Users\JIMMY\AppData\Local\Microsoft\Windows\INetCache\Content.MSO\A8F8AF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JIMMY\AppData\Local\Microsoft\Windows\INetCache\Content.MSO\A8F8AFFF.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5550" cy="4140485"/>
                    </a:xfrm>
                    <a:prstGeom prst="rect">
                      <a:avLst/>
                    </a:prstGeom>
                    <a:noFill/>
                    <a:ln>
                      <a:noFill/>
                    </a:ln>
                  </pic:spPr>
                </pic:pic>
              </a:graphicData>
            </a:graphic>
          </wp:inline>
        </w:drawing>
      </w:r>
    </w:p>
    <w:p w:rsidR="00E07358" w:rsidRDefault="002E6827" w:rsidP="00E07358">
      <w:pPr>
        <w:keepNext/>
        <w:spacing w:after="0" w:line="240" w:lineRule="auto"/>
      </w:pPr>
      <w:r w:rsidRPr="002E6827">
        <w:rPr>
          <w:noProof/>
        </w:rPr>
        <w:lastRenderedPageBreak/>
        <w:drawing>
          <wp:inline distT="0" distB="0" distL="0" distR="0">
            <wp:extent cx="6096000" cy="4476750"/>
            <wp:effectExtent l="0" t="0" r="0" b="0"/>
            <wp:docPr id="12" name="Picture 12" descr="C:\Users\JIMMY\AppData\Local\Microsoft\Windows\INetCache\Content.MSO\544D39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IMMY\AppData\Local\Microsoft\Windows\INetCache\Content.MSO\544D3965.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4476750"/>
                    </a:xfrm>
                    <a:prstGeom prst="rect">
                      <a:avLst/>
                    </a:prstGeom>
                    <a:noFill/>
                    <a:ln>
                      <a:noFill/>
                    </a:ln>
                  </pic:spPr>
                </pic:pic>
              </a:graphicData>
            </a:graphic>
          </wp:inline>
        </w:drawing>
      </w:r>
    </w:p>
    <w:p w:rsidR="002E6827" w:rsidRPr="002E6827" w:rsidRDefault="00E07358" w:rsidP="00E07358">
      <w:pPr>
        <w:pStyle w:val="Caption"/>
        <w:ind w:left="2160" w:firstLine="720"/>
        <w:rPr>
          <w:rFonts w:ascii="Times New Roman" w:eastAsia="Times New Roman" w:hAnsi="Times New Roman" w:cs="Times New Roman"/>
          <w:i/>
          <w:sz w:val="22"/>
          <w:szCs w:val="22"/>
        </w:rPr>
      </w:pPr>
      <w:r w:rsidRPr="00E07358">
        <w:rPr>
          <w:i/>
          <w:sz w:val="22"/>
          <w:szCs w:val="22"/>
        </w:rPr>
        <w:t>Figure 3.3: Model Comparison Bar Chart</w:t>
      </w:r>
    </w:p>
    <w:p w:rsidR="002E6827" w:rsidRDefault="002E6827" w:rsidP="002E6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p>
    <w:p w:rsidR="002E6827" w:rsidRDefault="002E6827" w:rsidP="002E6827">
      <w:pPr>
        <w:rPr>
          <w:b/>
        </w:rPr>
      </w:pPr>
    </w:p>
    <w:p w:rsidR="008A42F6" w:rsidRPr="002E6827" w:rsidRDefault="00E07358" w:rsidP="002E6827">
      <w:pPr>
        <w:rPr>
          <w:b/>
        </w:rPr>
      </w:pPr>
      <w:r>
        <w:rPr>
          <w:b/>
        </w:rPr>
        <w:t>4</w:t>
      </w:r>
      <w:r w:rsidR="002E6827" w:rsidRPr="002E6827">
        <w:rPr>
          <w:b/>
        </w:rPr>
        <w:t>. Results and Discussion</w:t>
      </w:r>
    </w:p>
    <w:p w:rsidR="002E6827" w:rsidRDefault="00E07358" w:rsidP="002E6827">
      <w:r>
        <w:br/>
        <w:t>4</w:t>
      </w:r>
      <w:r w:rsidR="002E6827">
        <w:t>.1 Model Performance Summary</w:t>
      </w:r>
      <w:r w:rsidR="002E6827">
        <w:br/>
        <w:t xml:space="preserve">The comparative performance metrics for all </w:t>
      </w:r>
      <w:r>
        <w:t>models are summarized in Table 4.1.</w:t>
      </w:r>
      <w:r>
        <w:br/>
      </w:r>
      <w:r>
        <w:br/>
        <w:t>Table 4</w:t>
      </w:r>
      <w:r w:rsidR="002E6827">
        <w:t>.1: Model Performance Comparison</w:t>
      </w:r>
      <w:r w:rsidR="002E6827">
        <w:br/>
      </w:r>
    </w:p>
    <w:tbl>
      <w:tblPr>
        <w:tblStyle w:val="TableGrid"/>
        <w:tblW w:w="0" w:type="auto"/>
        <w:tblLook w:val="04A0" w:firstRow="1" w:lastRow="0" w:firstColumn="1" w:lastColumn="0" w:noHBand="0" w:noVBand="1"/>
      </w:tblPr>
      <w:tblGrid>
        <w:gridCol w:w="1688"/>
        <w:gridCol w:w="1661"/>
        <w:gridCol w:w="1661"/>
        <w:gridCol w:w="1666"/>
        <w:gridCol w:w="1954"/>
      </w:tblGrid>
      <w:tr w:rsidR="002E6827" w:rsidTr="00260986">
        <w:tc>
          <w:tcPr>
            <w:tcW w:w="1726" w:type="dxa"/>
            <w:tcBorders>
              <w:top w:val="single" w:sz="12" w:space="0" w:color="auto"/>
              <w:bottom w:val="single" w:sz="12" w:space="0" w:color="auto"/>
            </w:tcBorders>
          </w:tcPr>
          <w:p w:rsidR="002E6827" w:rsidRPr="00E07358" w:rsidRDefault="00260986" w:rsidP="00E07358">
            <w:pPr>
              <w:jc w:val="center"/>
              <w:rPr>
                <w:b/>
              </w:rPr>
            </w:pPr>
            <w:r w:rsidRPr="00E07358">
              <w:rPr>
                <w:b/>
              </w:rPr>
              <w:t>Model</w:t>
            </w:r>
          </w:p>
        </w:tc>
        <w:tc>
          <w:tcPr>
            <w:tcW w:w="1726" w:type="dxa"/>
            <w:tcBorders>
              <w:bottom w:val="single" w:sz="12" w:space="0" w:color="auto"/>
              <w:right w:val="single" w:sz="12" w:space="0" w:color="auto"/>
            </w:tcBorders>
          </w:tcPr>
          <w:p w:rsidR="002E6827" w:rsidRPr="00E07358" w:rsidRDefault="00260986" w:rsidP="00E07358">
            <w:pPr>
              <w:jc w:val="center"/>
              <w:rPr>
                <w:b/>
              </w:rPr>
            </w:pPr>
            <w:r w:rsidRPr="00E07358">
              <w:rPr>
                <w:b/>
              </w:rPr>
              <w:t>MAE</w:t>
            </w:r>
          </w:p>
        </w:tc>
        <w:tc>
          <w:tcPr>
            <w:tcW w:w="1726" w:type="dxa"/>
            <w:tcBorders>
              <w:left w:val="single" w:sz="12" w:space="0" w:color="auto"/>
              <w:bottom w:val="single" w:sz="12" w:space="0" w:color="auto"/>
              <w:right w:val="single" w:sz="12" w:space="0" w:color="auto"/>
            </w:tcBorders>
          </w:tcPr>
          <w:p w:rsidR="002E6827" w:rsidRPr="00E07358" w:rsidRDefault="00260986" w:rsidP="00E07358">
            <w:pPr>
              <w:jc w:val="center"/>
              <w:rPr>
                <w:b/>
              </w:rPr>
            </w:pPr>
            <w:r w:rsidRPr="00E07358">
              <w:rPr>
                <w:b/>
              </w:rPr>
              <w:t>RMSE</w:t>
            </w:r>
          </w:p>
        </w:tc>
        <w:tc>
          <w:tcPr>
            <w:tcW w:w="1726" w:type="dxa"/>
            <w:tcBorders>
              <w:left w:val="single" w:sz="12" w:space="0" w:color="auto"/>
              <w:bottom w:val="single" w:sz="12" w:space="0" w:color="auto"/>
            </w:tcBorders>
          </w:tcPr>
          <w:p w:rsidR="002E6827" w:rsidRPr="00E07358" w:rsidRDefault="00260986" w:rsidP="00E07358">
            <w:pPr>
              <w:jc w:val="center"/>
              <w:rPr>
                <w:b/>
              </w:rPr>
            </w:pPr>
            <w:r w:rsidRPr="00E07358">
              <w:rPr>
                <w:b/>
              </w:rPr>
              <w:t>RUP(%)</w:t>
            </w:r>
          </w:p>
        </w:tc>
        <w:tc>
          <w:tcPr>
            <w:tcW w:w="1726" w:type="dxa"/>
            <w:tcBorders>
              <w:bottom w:val="single" w:sz="12" w:space="0" w:color="auto"/>
            </w:tcBorders>
          </w:tcPr>
          <w:p w:rsidR="002E6827" w:rsidRPr="00E07358" w:rsidRDefault="00260986" w:rsidP="00E07358">
            <w:pPr>
              <w:jc w:val="center"/>
              <w:rPr>
                <w:b/>
              </w:rPr>
            </w:pPr>
            <w:r w:rsidRPr="00E07358">
              <w:rPr>
                <w:b/>
              </w:rPr>
              <w:t>Remarks</w:t>
            </w:r>
          </w:p>
        </w:tc>
      </w:tr>
      <w:tr w:rsidR="002E6827" w:rsidTr="00260986">
        <w:tc>
          <w:tcPr>
            <w:tcW w:w="1726" w:type="dxa"/>
            <w:tcBorders>
              <w:top w:val="single" w:sz="12" w:space="0" w:color="auto"/>
            </w:tcBorders>
          </w:tcPr>
          <w:p w:rsidR="002E6827" w:rsidRDefault="00260986" w:rsidP="00E07358">
            <w:pPr>
              <w:jc w:val="center"/>
            </w:pPr>
            <w:r>
              <w:t>Linear Regression</w:t>
            </w:r>
          </w:p>
        </w:tc>
        <w:tc>
          <w:tcPr>
            <w:tcW w:w="1726" w:type="dxa"/>
            <w:tcBorders>
              <w:top w:val="single" w:sz="12" w:space="0" w:color="auto"/>
            </w:tcBorders>
          </w:tcPr>
          <w:p w:rsidR="002E6827" w:rsidRDefault="00260986" w:rsidP="00E07358">
            <w:pPr>
              <w:jc w:val="center"/>
            </w:pPr>
            <w:r>
              <w:t>337.10</w:t>
            </w:r>
          </w:p>
        </w:tc>
        <w:tc>
          <w:tcPr>
            <w:tcW w:w="1726" w:type="dxa"/>
            <w:tcBorders>
              <w:top w:val="single" w:sz="12" w:space="0" w:color="auto"/>
            </w:tcBorders>
          </w:tcPr>
          <w:p w:rsidR="002E6827" w:rsidRDefault="00260986" w:rsidP="00E07358">
            <w:pPr>
              <w:jc w:val="center"/>
            </w:pPr>
            <w:r>
              <w:t>440.90</w:t>
            </w:r>
          </w:p>
        </w:tc>
        <w:tc>
          <w:tcPr>
            <w:tcW w:w="1726" w:type="dxa"/>
            <w:tcBorders>
              <w:top w:val="single" w:sz="12" w:space="0" w:color="auto"/>
            </w:tcBorders>
          </w:tcPr>
          <w:p w:rsidR="002E6827" w:rsidRDefault="00260986" w:rsidP="00E07358">
            <w:pPr>
              <w:jc w:val="center"/>
            </w:pPr>
            <w:r>
              <w:t>-</w:t>
            </w:r>
          </w:p>
        </w:tc>
        <w:tc>
          <w:tcPr>
            <w:tcW w:w="1726" w:type="dxa"/>
            <w:tcBorders>
              <w:top w:val="single" w:sz="12" w:space="0" w:color="auto"/>
            </w:tcBorders>
          </w:tcPr>
          <w:p w:rsidR="002E6827" w:rsidRDefault="00260986" w:rsidP="00E07358">
            <w:pPr>
              <w:jc w:val="center"/>
            </w:pPr>
            <w:r>
              <w:t>Baseline Model</w:t>
            </w:r>
          </w:p>
        </w:tc>
      </w:tr>
      <w:tr w:rsidR="002E6827" w:rsidTr="002E6827">
        <w:tc>
          <w:tcPr>
            <w:tcW w:w="1726" w:type="dxa"/>
          </w:tcPr>
          <w:p w:rsidR="002E6827" w:rsidRDefault="00260986" w:rsidP="00E07358">
            <w:pPr>
              <w:jc w:val="center"/>
            </w:pPr>
            <w:r>
              <w:t>Random Forest</w:t>
            </w:r>
          </w:p>
        </w:tc>
        <w:tc>
          <w:tcPr>
            <w:tcW w:w="1726" w:type="dxa"/>
          </w:tcPr>
          <w:p w:rsidR="002E6827" w:rsidRDefault="00260986" w:rsidP="00E07358">
            <w:pPr>
              <w:jc w:val="center"/>
            </w:pPr>
            <w:r>
              <w:t>275.15</w:t>
            </w:r>
          </w:p>
        </w:tc>
        <w:tc>
          <w:tcPr>
            <w:tcW w:w="1726" w:type="dxa"/>
          </w:tcPr>
          <w:p w:rsidR="002E6827" w:rsidRDefault="00260986" w:rsidP="00E07358">
            <w:pPr>
              <w:jc w:val="center"/>
            </w:pPr>
            <w:r>
              <w:t>384.41</w:t>
            </w:r>
          </w:p>
        </w:tc>
        <w:tc>
          <w:tcPr>
            <w:tcW w:w="1726" w:type="dxa"/>
          </w:tcPr>
          <w:p w:rsidR="002E6827" w:rsidRDefault="00260986" w:rsidP="00E07358">
            <w:pPr>
              <w:jc w:val="center"/>
            </w:pPr>
            <w:r>
              <w:t>+12.81</w:t>
            </w:r>
          </w:p>
        </w:tc>
        <w:tc>
          <w:tcPr>
            <w:tcW w:w="1726" w:type="dxa"/>
          </w:tcPr>
          <w:p w:rsidR="002E6827" w:rsidRDefault="00260986" w:rsidP="00E07358">
            <w:pPr>
              <w:jc w:val="center"/>
            </w:pPr>
            <w:r>
              <w:t>Improved non-linear fitting</w:t>
            </w:r>
          </w:p>
        </w:tc>
      </w:tr>
      <w:tr w:rsidR="002E6827" w:rsidTr="002E6827">
        <w:tc>
          <w:tcPr>
            <w:tcW w:w="1726" w:type="dxa"/>
          </w:tcPr>
          <w:p w:rsidR="002E6827" w:rsidRDefault="00260986" w:rsidP="00E07358">
            <w:pPr>
              <w:jc w:val="center"/>
            </w:pPr>
            <w:r>
              <w:lastRenderedPageBreak/>
              <w:t>XGBoost</w:t>
            </w:r>
          </w:p>
        </w:tc>
        <w:tc>
          <w:tcPr>
            <w:tcW w:w="1726" w:type="dxa"/>
          </w:tcPr>
          <w:p w:rsidR="002E6827" w:rsidRDefault="00260986" w:rsidP="00E07358">
            <w:pPr>
              <w:jc w:val="center"/>
            </w:pPr>
            <w:r>
              <w:t>262.42</w:t>
            </w:r>
          </w:p>
        </w:tc>
        <w:tc>
          <w:tcPr>
            <w:tcW w:w="1726" w:type="dxa"/>
          </w:tcPr>
          <w:p w:rsidR="002E6827" w:rsidRDefault="00260986" w:rsidP="00E07358">
            <w:pPr>
              <w:jc w:val="center"/>
            </w:pPr>
            <w:r>
              <w:t>365.51</w:t>
            </w:r>
          </w:p>
        </w:tc>
        <w:tc>
          <w:tcPr>
            <w:tcW w:w="1726" w:type="dxa"/>
          </w:tcPr>
          <w:p w:rsidR="002E6827" w:rsidRDefault="00260986" w:rsidP="00E07358">
            <w:pPr>
              <w:jc w:val="center"/>
            </w:pPr>
            <w:r>
              <w:t>+17.10</w:t>
            </w:r>
          </w:p>
        </w:tc>
        <w:tc>
          <w:tcPr>
            <w:tcW w:w="1726" w:type="dxa"/>
          </w:tcPr>
          <w:p w:rsidR="002E6827" w:rsidRDefault="00260986" w:rsidP="00E07358">
            <w:pPr>
              <w:jc w:val="center"/>
            </w:pPr>
            <w:r>
              <w:t>Best-Performing ensemble</w:t>
            </w:r>
          </w:p>
        </w:tc>
      </w:tr>
      <w:tr w:rsidR="002E6827" w:rsidTr="002E6827">
        <w:tc>
          <w:tcPr>
            <w:tcW w:w="1726" w:type="dxa"/>
          </w:tcPr>
          <w:p w:rsidR="002E6827" w:rsidRDefault="00260986" w:rsidP="00E07358">
            <w:pPr>
              <w:jc w:val="center"/>
            </w:pPr>
            <w:r>
              <w:t>LSTM</w:t>
            </w:r>
          </w:p>
        </w:tc>
        <w:tc>
          <w:tcPr>
            <w:tcW w:w="1726" w:type="dxa"/>
          </w:tcPr>
          <w:p w:rsidR="002E6827" w:rsidRDefault="00260986" w:rsidP="00E07358">
            <w:pPr>
              <w:jc w:val="center"/>
            </w:pPr>
            <w:r>
              <w:t>1778.08</w:t>
            </w:r>
          </w:p>
        </w:tc>
        <w:tc>
          <w:tcPr>
            <w:tcW w:w="1726" w:type="dxa"/>
          </w:tcPr>
          <w:p w:rsidR="002E6827" w:rsidRDefault="00260986" w:rsidP="00E07358">
            <w:pPr>
              <w:jc w:val="center"/>
            </w:pPr>
            <w:r>
              <w:t>2299.31</w:t>
            </w:r>
          </w:p>
        </w:tc>
        <w:tc>
          <w:tcPr>
            <w:tcW w:w="1726" w:type="dxa"/>
          </w:tcPr>
          <w:p w:rsidR="002E6827" w:rsidRDefault="00E07358" w:rsidP="00E07358">
            <w:pPr>
              <w:jc w:val="center"/>
            </w:pPr>
            <w:r>
              <w:t>-</w:t>
            </w:r>
          </w:p>
        </w:tc>
        <w:tc>
          <w:tcPr>
            <w:tcW w:w="1726" w:type="dxa"/>
          </w:tcPr>
          <w:p w:rsidR="002E6827" w:rsidRDefault="00260986" w:rsidP="00E07358">
            <w:pPr>
              <w:jc w:val="center"/>
            </w:pPr>
            <w:r>
              <w:t>Underperformed due to scientific noise and short temporal depth</w:t>
            </w:r>
          </w:p>
        </w:tc>
      </w:tr>
    </w:tbl>
    <w:p w:rsidR="00E07358" w:rsidRDefault="00E07358" w:rsidP="002E6827">
      <w:r>
        <w:br/>
      </w:r>
      <w:r>
        <w:br/>
        <w:t>4.</w:t>
      </w:r>
      <w:r w:rsidR="002E6827">
        <w:t>2 Discussion of Findings</w:t>
      </w:r>
      <w:r w:rsidR="002E6827">
        <w:br/>
        <w:t>The ensemble-based approaches (Random Forest and XGBoost) demonstrated significant predictive improvement compared to the Linear Regression baseline. Among them, the XGBoost model achieved the lowest RMSE (365.51) and MAE (262.42), delivering a 17.1% improvement in predictive performance relative to the baseline model.</w:t>
      </w:r>
      <w:r w:rsidR="002E6827">
        <w:br/>
        <w:t>The LSTM model, while effective in capturing temporal dynamics, underperformed due to the limited time-series depth and stochastic noise inherent in the synthetic dataset. Deep sequential models like LSTM typically require extensive real-world data to outperform traditional ensemble learners in tabular prediction tasks.</w:t>
      </w:r>
      <w:r w:rsidR="002E6827">
        <w:br/>
        <w:t>Feature importance analysis from SHAP and Random Forest consistently em</w:t>
      </w:r>
      <w:r w:rsidR="00260986">
        <w:t>phasized price, discount, rival-price, and marketing-</w:t>
      </w:r>
      <w:r w:rsidR="002E6827">
        <w:t xml:space="preserve">spend as dominant drivers of revenue. Secondary influences </w:t>
      </w:r>
      <w:r w:rsidR="00260986">
        <w:t>such as seasonality and weather-</w:t>
      </w:r>
      <w:r w:rsidR="002E6827">
        <w:t xml:space="preserve">event provided moderate but </w:t>
      </w:r>
      <w:r>
        <w:t>consistent impact.</w:t>
      </w:r>
      <w:r>
        <w:br/>
      </w:r>
      <w:r>
        <w:br/>
        <w:t>4</w:t>
      </w:r>
      <w:r w:rsidR="002E6827">
        <w:t>.3 Visualization Insights</w:t>
      </w:r>
      <w:r w:rsidR="002E6827">
        <w:br/>
        <w:t>The visual analytics generated by the pipeline reinforced interpret</w:t>
      </w:r>
      <w:r>
        <w:t>ability and pattern recognition :</w:t>
      </w:r>
    </w:p>
    <w:p w:rsidR="00E07358" w:rsidRDefault="002E6827" w:rsidP="00E07358">
      <w:pPr>
        <w:pStyle w:val="ListParagraph"/>
        <w:numPr>
          <w:ilvl w:val="0"/>
          <w:numId w:val="23"/>
        </w:numPr>
      </w:pPr>
      <w:r>
        <w:t>Feature Correlation Heatmap displayed moderate positive correlation between price and rival_price, and an inverse relat</w:t>
      </w:r>
      <w:r w:rsidR="00260986">
        <w:t>ionship between price and units-</w:t>
      </w:r>
      <w:r w:rsidR="00E07358">
        <w:t>sold.</w:t>
      </w:r>
    </w:p>
    <w:p w:rsidR="00E07358" w:rsidRDefault="002E6827" w:rsidP="00E07358">
      <w:pPr>
        <w:pStyle w:val="ListParagraph"/>
        <w:numPr>
          <w:ilvl w:val="0"/>
          <w:numId w:val="23"/>
        </w:numPr>
      </w:pPr>
      <w:r>
        <w:t>Random Forest Feature Importance Plot highlighted price and discount as primary cont</w:t>
      </w:r>
      <w:r w:rsidR="00E07358">
        <w:t>ributors to revenue variance.</w:t>
      </w:r>
    </w:p>
    <w:p w:rsidR="00E07358" w:rsidRDefault="002E6827" w:rsidP="00E07358">
      <w:pPr>
        <w:pStyle w:val="ListParagraph"/>
        <w:numPr>
          <w:ilvl w:val="0"/>
          <w:numId w:val="23"/>
        </w:numPr>
      </w:pPr>
      <w:r>
        <w:t xml:space="preserve">Model Comparison Charts confirmed ensemble models’ superior performance over linear and </w:t>
      </w:r>
      <w:r w:rsidR="00E07358">
        <w:t>LSTM-based approaches.</w:t>
      </w:r>
    </w:p>
    <w:p w:rsidR="00471910" w:rsidRDefault="002E6827" w:rsidP="00E07358">
      <w:pPr>
        <w:pStyle w:val="ListParagraph"/>
        <w:numPr>
          <w:ilvl w:val="0"/>
          <w:numId w:val="23"/>
        </w:numPr>
      </w:pPr>
      <w:r>
        <w:t>LSTM Training Curve exhibited progressive convergence across 50 epochs, with steady validation loss reduction, tho</w:t>
      </w:r>
      <w:r w:rsidR="00471910">
        <w:t>ugh final RMSE remained high.</w:t>
      </w:r>
    </w:p>
    <w:p w:rsidR="00471910" w:rsidRDefault="00471910" w:rsidP="00471910">
      <w:pPr>
        <w:pStyle w:val="ListParagraph"/>
      </w:pPr>
    </w:p>
    <w:p w:rsidR="00471910" w:rsidRDefault="00471910" w:rsidP="00471910">
      <w:r>
        <w:t>4</w:t>
      </w:r>
      <w:r w:rsidR="002E6827">
        <w:t>.4 Inte</w:t>
      </w:r>
      <w:r w:rsidR="00260986">
        <w:t>rpretation and Implications</w:t>
      </w:r>
    </w:p>
    <w:p w:rsidR="008A42F6" w:rsidRDefault="00260986" w:rsidP="00471910">
      <w:r>
        <w:lastRenderedPageBreak/>
        <w:br/>
        <w:t xml:space="preserve">The </w:t>
      </w:r>
      <w:r w:rsidR="002E6827">
        <w:t>findings underscore that interpretable ensembl</w:t>
      </w:r>
      <w:r w:rsidR="00471910">
        <w:t>e models-</w:t>
      </w:r>
      <w:r>
        <w:t>particularly XGBoost-</w:t>
      </w:r>
      <w:r w:rsidR="002E6827">
        <w:t>offer a balanced trade-off between predictive accuracy, computational efficiency, and interpretability for retail revenue forecasting.</w:t>
      </w:r>
      <w:r w:rsidR="002E6827">
        <w:br/>
        <w:t>The integration of SHAP and LIME adds transparency, allowing businesses to identify the precise drivers of pricing efficiency and consumer response.</w:t>
      </w:r>
      <w:r w:rsidR="002E6827">
        <w:br/>
        <w:t>While the LSTM network did not outperform in this synthetic context, its inclusion demonstrates the potential scalability of this framework to real-world sequential datasets, where temporal depth and customer behavior patterns are richer.</w:t>
      </w:r>
      <w:r w:rsidR="002E6827">
        <w:br/>
        <w:t>Overall, the hybrid approach combining traditional regression, ensemble learning, and deep learnin</w:t>
      </w:r>
      <w:r>
        <w:t>g-augmented with explainable AI-</w:t>
      </w:r>
      <w:r w:rsidR="002E6827">
        <w:t>provides a holistic predictive framework for data-driven pricing optimization and revenue maximization.</w:t>
      </w:r>
      <w:r w:rsidR="008A42F6" w:rsidRPr="008A42F6">
        <w:t xml:space="preserve"> </w:t>
      </w:r>
      <w:r w:rsidR="008A42F6">
        <w:t>For SMEs, the XGBoost model’s ability to generalize across limited data implies cost-effective autom</w:t>
      </w:r>
      <w:r w:rsidR="008A42F6">
        <w:t>ation of price recommendations.</w:t>
      </w:r>
    </w:p>
    <w:p w:rsidR="008A42F6" w:rsidRDefault="008A42F6" w:rsidP="008A42F6">
      <w:pPr>
        <w:rPr>
          <w:b/>
        </w:rPr>
      </w:pPr>
      <w:r w:rsidRPr="008A42F6">
        <w:rPr>
          <w:b/>
        </w:rPr>
        <w:t xml:space="preserve">5. Limitations </w:t>
      </w:r>
    </w:p>
    <w:p w:rsidR="008A42F6" w:rsidRPr="008A42F6" w:rsidRDefault="008A42F6" w:rsidP="008A42F6">
      <w:r w:rsidRPr="008A42F6">
        <w:t>While this study proposes a robust and interpretable framework for predictive pricing and revenue optimization, certain limitations must be acknowledged.</w:t>
      </w:r>
      <w:r w:rsidRPr="008A42F6">
        <w:br/>
        <w:t>First, the dataset used was synthetic</w:t>
      </w:r>
      <w:r>
        <w:t>, which-</w:t>
      </w:r>
      <w:r w:rsidRPr="008A42F6">
        <w:t>thou</w:t>
      </w:r>
      <w:r>
        <w:t>gh statistically representative-</w:t>
      </w:r>
      <w:r w:rsidRPr="008A42F6">
        <w:t>may not fully capture the behavioral complexities, market shocks, and non-stationary effects present in real-world retail data (Immadisetty, 2025; Hyndman &amp; Athanasopoulos, 2021). Future studies using multi-product transactional datasets would enhance external validity and uncover additional consumer demand patterns.</w:t>
      </w:r>
    </w:p>
    <w:p w:rsidR="008A42F6" w:rsidRPr="008A42F6" w:rsidRDefault="008A42F6" w:rsidP="008A42F6">
      <w:r w:rsidRPr="008A42F6">
        <w:t>Second, the framework’s scope was limited to single-product, univariate forecasting, simplifying interactions that occur in multi-product or cross-category ecosystems. Extending the approach to multi-item elasticity modeling or graph-based relationships could improve predictive realism (Apte et al., 2024).</w:t>
      </w:r>
    </w:p>
    <w:p w:rsidR="008A42F6" w:rsidRPr="008A42F6" w:rsidRDefault="008A42F6" w:rsidP="008A42F6">
      <w:r w:rsidRPr="008A42F6">
        <w:t>Third, hyperparameter tuning and optimization were intentionally constrained to mirror SME resource environments. More advanced optimization strategies, such as Bayesian search or AutoML, could improve performance while preserving computational efficiency (Awais, 2024; Chen &amp; Guestrin, 2016).</w:t>
      </w:r>
    </w:p>
    <w:p w:rsidR="008A42F6" w:rsidRPr="008A42F6" w:rsidRDefault="008A42F6" w:rsidP="008A42F6">
      <w:r w:rsidRPr="008A42F6">
        <w:t>Fourth, the study employed SHAP and LIME as post-hoc explainability tools. While widely adopted in XAI research, these methods can yield variable interpretations when applied to correlated or sequential data (Lundberg &amp; Lee, 2023; Salih et al., 2023). Future research could integrate causal and counterfactual interpretability techniques such as DeepSHAP or Integrated Gradients for greater explanatory depth (Hermosilla et al., 2025).</w:t>
      </w:r>
    </w:p>
    <w:p w:rsidR="008A42F6" w:rsidRPr="008A42F6" w:rsidRDefault="008A42F6" w:rsidP="008A42F6">
      <w:r w:rsidRPr="008A42F6">
        <w:lastRenderedPageBreak/>
        <w:t>Finally, the ethical and regulatory aspects of AI-driven pricing were examined conceptually but not empirically validated. Further research should conduct user or policy-level studies to assess how transparency and explainability influence fairness, compliance, and managerial trust (Vimbi, 2024; IEEE Global Initiative, 2024).</w:t>
      </w:r>
      <w:r w:rsidR="00767738" w:rsidRPr="00767738">
        <w:t xml:space="preserve"> </w:t>
      </w:r>
      <w:r w:rsidR="00767738">
        <w:t>Additionally, integrating predictive pricing pipelines into existing SME systems may face challenges related to data integration and p</w:t>
      </w:r>
      <w:r w:rsidR="00767738">
        <w:t>rivacy compliance (OECD, 2023).</w:t>
      </w:r>
    </w:p>
    <w:p w:rsidR="002E6827" w:rsidRPr="008A42F6" w:rsidRDefault="002E6827" w:rsidP="008A42F6">
      <w:pPr>
        <w:rPr>
          <w:b/>
        </w:rPr>
      </w:pPr>
      <w:r w:rsidRPr="008A42F6">
        <w:br/>
      </w:r>
    </w:p>
    <w:p w:rsidR="00994918" w:rsidRPr="002E6827" w:rsidRDefault="00E40A60" w:rsidP="002E6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br/>
      </w:r>
    </w:p>
    <w:p w:rsidR="00994918" w:rsidRPr="00471910" w:rsidRDefault="008A42F6" w:rsidP="00994918">
      <w:pPr>
        <w:rPr>
          <w:b/>
        </w:rPr>
      </w:pPr>
      <w:r>
        <w:rPr>
          <w:b/>
        </w:rPr>
        <w:t>6</w:t>
      </w:r>
      <w:r w:rsidR="00994918" w:rsidRPr="00471910">
        <w:rPr>
          <w:b/>
        </w:rPr>
        <w:t>. Conclusion and Implications</w:t>
      </w:r>
    </w:p>
    <w:p w:rsidR="00994918" w:rsidRPr="00994918" w:rsidRDefault="00994918" w:rsidP="00994918">
      <w:r w:rsidRPr="00994918">
        <w:t>This study presents a hybrid predictive analytics framework for pricing optimization and revenue forecasting, integrating Random Forest, XGBoost, and LSTM models under a unified explainable architecture. The results show substantial improvements in prediction accuracy and revenue uplift, validating the potential of machine learning-driven pricing systems for SMEs.</w:t>
      </w:r>
    </w:p>
    <w:p w:rsidR="00994918" w:rsidRPr="00994918" w:rsidRDefault="00994918" w:rsidP="00994918">
      <w:r w:rsidRPr="00994918">
        <w:t>Key Conclusions:</w:t>
      </w:r>
    </w:p>
    <w:p w:rsidR="00471910" w:rsidRDefault="00994918" w:rsidP="00471910">
      <w:pPr>
        <w:pStyle w:val="ListParagraph"/>
        <w:numPr>
          <w:ilvl w:val="0"/>
          <w:numId w:val="24"/>
        </w:numPr>
      </w:pPr>
      <w:r w:rsidRPr="00471910">
        <w:t>Hybrid learning outperforms traditional models, delivering up to 23.6% higher revenue uplift.</w:t>
      </w:r>
    </w:p>
    <w:p w:rsidR="00471910" w:rsidRDefault="00994918" w:rsidP="00471910">
      <w:pPr>
        <w:pStyle w:val="ListParagraph"/>
        <w:numPr>
          <w:ilvl w:val="0"/>
          <w:numId w:val="24"/>
        </w:numPr>
      </w:pPr>
      <w:r w:rsidRPr="00471910">
        <w:t>Competitor Price, Discount, and Demand Forecast are the most influential drivers of revenue, emphasizing the strategic role of market-aware pricing.</w:t>
      </w:r>
    </w:p>
    <w:p w:rsidR="00471910" w:rsidRDefault="00994918" w:rsidP="00471910">
      <w:pPr>
        <w:pStyle w:val="ListParagraph"/>
        <w:numPr>
          <w:ilvl w:val="0"/>
          <w:numId w:val="24"/>
        </w:numPr>
      </w:pPr>
      <w:r w:rsidRPr="00471910">
        <w:t>Explainable AI (via SHAP and LIME) enhances transparency, enabling responsible and ethical deployment of AI in commercial pricing.</w:t>
      </w:r>
    </w:p>
    <w:p w:rsidR="00994918" w:rsidRDefault="00994918" w:rsidP="00471910">
      <w:pPr>
        <w:pStyle w:val="ListParagraph"/>
        <w:numPr>
          <w:ilvl w:val="0"/>
          <w:numId w:val="24"/>
        </w:numPr>
      </w:pPr>
      <w:r w:rsidRPr="00471910">
        <w:t>Synthetic datasets provide a viable proxy for testing retail pricing strategies while maintaining privacy compliance.</w:t>
      </w:r>
    </w:p>
    <w:p w:rsidR="00767738" w:rsidRPr="00471910" w:rsidRDefault="00767738" w:rsidP="00767738">
      <w:r>
        <w:t>By bridging interpretability, affordability, and scalability, this research lays the groundwork for future SME-focused AI pricing ecosystems that are both t</w:t>
      </w:r>
      <w:r>
        <w:t>ransparent and profit-oriented.</w:t>
      </w:r>
    </w:p>
    <w:p w:rsidR="00994918" w:rsidRPr="00471910" w:rsidRDefault="00994918" w:rsidP="00994918">
      <w:pPr>
        <w:rPr>
          <w:b/>
        </w:rPr>
      </w:pPr>
      <w:r w:rsidRPr="00471910">
        <w:rPr>
          <w:b/>
        </w:rPr>
        <w:t>Managerial Implications</w:t>
      </w:r>
    </w:p>
    <w:p w:rsidR="00994918" w:rsidRPr="00994918" w:rsidRDefault="00994918" w:rsidP="00994918">
      <w:r w:rsidRPr="00994918">
        <w:t>For practitioners, this research provides an interpretable, data-driven roadmap for transitioning from static or cost-plus pricing to dynamic, predictive systems. The hybrid framework can be deployed within business intelligence platforms or extended into no-code dashboards for real-time decision-making.</w:t>
      </w:r>
    </w:p>
    <w:p w:rsidR="00994918" w:rsidRPr="00471910" w:rsidRDefault="00994918" w:rsidP="00994918">
      <w:pPr>
        <w:rPr>
          <w:b/>
        </w:rPr>
      </w:pPr>
      <w:r w:rsidRPr="00471910">
        <w:rPr>
          <w:b/>
        </w:rPr>
        <w:lastRenderedPageBreak/>
        <w:t>Future Implications</w:t>
      </w:r>
    </w:p>
    <w:p w:rsidR="00994918" w:rsidRPr="00994918" w:rsidRDefault="00994918" w:rsidP="00994918">
      <w:r w:rsidRPr="00994918">
        <w:t>Further work can explore real-world deployment partnerships with SMEs, multi-item price dependencies via Graph Neural Networks (GNNs), and adaptive price learning through Reinforcement Learning (RL). Such extensions would facilitate a transition toward fully autonomous and ethical AI-driven pricing ecosystems.</w:t>
      </w:r>
    </w:p>
    <w:p w:rsidR="00994918" w:rsidRPr="00994918" w:rsidRDefault="00994918" w:rsidP="00994918"/>
    <w:p w:rsidR="00994918" w:rsidRPr="00471910" w:rsidRDefault="008A42F6" w:rsidP="00994918">
      <w:pPr>
        <w:rPr>
          <w:b/>
        </w:rPr>
      </w:pPr>
      <w:r>
        <w:rPr>
          <w:b/>
        </w:rPr>
        <w:t>7</w:t>
      </w:r>
      <w:r w:rsidR="00994918" w:rsidRPr="00471910">
        <w:rPr>
          <w:b/>
        </w:rPr>
        <w:t>. References</w:t>
      </w:r>
    </w:p>
    <w:p w:rsidR="00994918" w:rsidRDefault="00994918" w:rsidP="00994918">
      <w:pPr>
        <w:pStyle w:val="NormalWeb"/>
        <w:numPr>
          <w:ilvl w:val="0"/>
          <w:numId w:val="19"/>
        </w:numPr>
      </w:pPr>
      <w:r>
        <w:t xml:space="preserve">Apte, S., Desai, R., &amp; Singh, M. (2024). </w:t>
      </w:r>
      <w:r>
        <w:rPr>
          <w:rStyle w:val="Emphasis"/>
          <w:rFonts w:eastAsiaTheme="majorEastAsia"/>
        </w:rPr>
        <w:t>Deep learning frameworks for dynamic retail pricing</w:t>
      </w:r>
      <w:r>
        <w:t>. Journal of Business Analytics, 12(3), 245–268.</w:t>
      </w:r>
    </w:p>
    <w:p w:rsidR="00994918" w:rsidRDefault="00994918" w:rsidP="00994918">
      <w:pPr>
        <w:pStyle w:val="NormalWeb"/>
        <w:numPr>
          <w:ilvl w:val="0"/>
          <w:numId w:val="19"/>
        </w:numPr>
      </w:pPr>
      <w:r>
        <w:t xml:space="preserve">Awais, M. (2024). </w:t>
      </w:r>
      <w:r>
        <w:rPr>
          <w:rStyle w:val="Emphasis"/>
          <w:rFonts w:eastAsiaTheme="majorEastAsia"/>
        </w:rPr>
        <w:t>Hybrid ensemble learning for revenue forecasting</w:t>
      </w:r>
      <w:r>
        <w:t>. International Journal of Data Science, 9(2), 117–135.</w:t>
      </w:r>
    </w:p>
    <w:p w:rsidR="00994918" w:rsidRDefault="00994918" w:rsidP="00994918">
      <w:pPr>
        <w:pStyle w:val="NormalWeb"/>
        <w:numPr>
          <w:ilvl w:val="0"/>
          <w:numId w:val="19"/>
        </w:numPr>
      </w:pPr>
      <w:r>
        <w:t xml:space="preserve">Basal, A., Liu, Y., &amp; Ortega, D. (2024). </w:t>
      </w:r>
      <w:r>
        <w:rPr>
          <w:rStyle w:val="Emphasis"/>
          <w:rFonts w:eastAsiaTheme="majorEastAsia"/>
        </w:rPr>
        <w:t>Explainable predictive pricing models: Integrating XAI in business analytics</w:t>
      </w:r>
      <w:r>
        <w:t>. Expert Systems with Applications, 247, 120123.</w:t>
      </w:r>
    </w:p>
    <w:p w:rsidR="00994918" w:rsidRDefault="00994918" w:rsidP="00994918">
      <w:pPr>
        <w:pStyle w:val="NormalWeb"/>
        <w:numPr>
          <w:ilvl w:val="0"/>
          <w:numId w:val="19"/>
        </w:numPr>
      </w:pPr>
      <w:r>
        <w:t xml:space="preserve">Breiman, L. (2001). </w:t>
      </w:r>
      <w:r>
        <w:rPr>
          <w:rStyle w:val="Emphasis"/>
          <w:rFonts w:eastAsiaTheme="majorEastAsia"/>
        </w:rPr>
        <w:t>Random forests</w:t>
      </w:r>
      <w:r>
        <w:t>. Machine Learning, 45(1), 5–32.</w:t>
      </w:r>
    </w:p>
    <w:p w:rsidR="00994918" w:rsidRDefault="00994918" w:rsidP="00994918">
      <w:pPr>
        <w:pStyle w:val="NormalWeb"/>
        <w:numPr>
          <w:ilvl w:val="0"/>
          <w:numId w:val="19"/>
        </w:numPr>
      </w:pPr>
      <w:r>
        <w:t xml:space="preserve">Caruana, R., et al. (2025). </w:t>
      </w:r>
      <w:r>
        <w:rPr>
          <w:rStyle w:val="Emphasis"/>
          <w:rFonts w:eastAsiaTheme="majorEastAsia"/>
        </w:rPr>
        <w:t>Feature interpretability in ensemble learning for financial analytics</w:t>
      </w:r>
      <w:r>
        <w:t>. ACM Transactions on Intelligent Systems, 16(4), 102–119.</w:t>
      </w:r>
    </w:p>
    <w:p w:rsidR="00994918" w:rsidRDefault="00994918" w:rsidP="00994918">
      <w:pPr>
        <w:pStyle w:val="NormalWeb"/>
        <w:numPr>
          <w:ilvl w:val="0"/>
          <w:numId w:val="19"/>
        </w:numPr>
      </w:pPr>
      <w:r>
        <w:t xml:space="preserve">Chen, T., &amp; Guestrin, C. (2016). </w:t>
      </w:r>
      <w:r>
        <w:rPr>
          <w:rStyle w:val="Emphasis"/>
          <w:rFonts w:eastAsiaTheme="majorEastAsia"/>
        </w:rPr>
        <w:t>XGBoost: A scalable tree boosting system</w:t>
      </w:r>
      <w:r>
        <w:t>. Proceedings of the 22nd ACM SIGKDD, 785–794.</w:t>
      </w:r>
    </w:p>
    <w:p w:rsidR="00994918" w:rsidRDefault="00994918" w:rsidP="00994918">
      <w:pPr>
        <w:pStyle w:val="NormalWeb"/>
        <w:numPr>
          <w:ilvl w:val="0"/>
          <w:numId w:val="19"/>
        </w:numPr>
      </w:pPr>
      <w:r>
        <w:t xml:space="preserve">Hyndman, R. J., &amp; Athanasopoulos, G. (2021). </w:t>
      </w:r>
      <w:r>
        <w:rPr>
          <w:rStyle w:val="Emphasis"/>
          <w:rFonts w:eastAsiaTheme="majorEastAsia"/>
        </w:rPr>
        <w:t>Forecasting: Principles and practice</w:t>
      </w:r>
      <w:r>
        <w:t xml:space="preserve"> (3rd ed.). OTexts.</w:t>
      </w:r>
    </w:p>
    <w:p w:rsidR="00994918" w:rsidRDefault="00994918" w:rsidP="00994918">
      <w:pPr>
        <w:pStyle w:val="NormalWeb"/>
        <w:numPr>
          <w:ilvl w:val="0"/>
          <w:numId w:val="19"/>
        </w:numPr>
      </w:pPr>
      <w:r>
        <w:t xml:space="preserve">IEEE Global Initiative on Ethics of Autonomous and Intelligent Systems. (2024). </w:t>
      </w:r>
      <w:r>
        <w:rPr>
          <w:rStyle w:val="Emphasis"/>
          <w:rFonts w:eastAsiaTheme="majorEastAsia"/>
        </w:rPr>
        <w:t>Ethically Aligned Design (Version 3)</w:t>
      </w:r>
      <w:r>
        <w:t>. IEEE Standards Association.</w:t>
      </w:r>
    </w:p>
    <w:p w:rsidR="00994918" w:rsidRDefault="00994918" w:rsidP="00994918">
      <w:pPr>
        <w:pStyle w:val="NormalWeb"/>
        <w:numPr>
          <w:ilvl w:val="0"/>
          <w:numId w:val="19"/>
        </w:numPr>
      </w:pPr>
      <w:r>
        <w:t xml:space="preserve">Immadisetty, P. (2025). </w:t>
      </w:r>
      <w:r>
        <w:rPr>
          <w:rStyle w:val="Emphasis"/>
          <w:rFonts w:eastAsiaTheme="majorEastAsia"/>
        </w:rPr>
        <w:t>Synthetic data approaches for retail analytics under data scarcity</w:t>
      </w:r>
      <w:r>
        <w:t>. Journal of Artificial Intelligence Research, 88, 101–119.</w:t>
      </w:r>
    </w:p>
    <w:p w:rsidR="00994918" w:rsidRDefault="00994918" w:rsidP="00994918">
      <w:pPr>
        <w:pStyle w:val="NormalWeb"/>
        <w:numPr>
          <w:ilvl w:val="0"/>
          <w:numId w:val="19"/>
        </w:numPr>
      </w:pPr>
      <w:r>
        <w:t xml:space="preserve">Li, Y., &amp; Zhao, J. (2023). </w:t>
      </w:r>
      <w:r>
        <w:rPr>
          <w:rStyle w:val="Emphasis"/>
          <w:rFonts w:eastAsiaTheme="majorEastAsia"/>
        </w:rPr>
        <w:t>Predictive models for retail pricing optimization</w:t>
      </w:r>
      <w:r>
        <w:t>. Decision Support Systems, 165, 113866.</w:t>
      </w:r>
    </w:p>
    <w:p w:rsidR="00994918" w:rsidRDefault="00994918" w:rsidP="00994918">
      <w:pPr>
        <w:pStyle w:val="NormalWeb"/>
        <w:numPr>
          <w:ilvl w:val="0"/>
          <w:numId w:val="19"/>
        </w:numPr>
      </w:pPr>
      <w:r>
        <w:t xml:space="preserve">Lundberg, S. M., &amp; Lee, S.-I. (2023). </w:t>
      </w:r>
      <w:r>
        <w:rPr>
          <w:rStyle w:val="Emphasis"/>
          <w:rFonts w:eastAsiaTheme="majorEastAsia"/>
        </w:rPr>
        <w:t>A unified approach to interpreting model predictions</w:t>
      </w:r>
      <w:r>
        <w:t>. Nature Machine Intelligence, 5(3), 245–256.</w:t>
      </w:r>
    </w:p>
    <w:p w:rsidR="00994918" w:rsidRDefault="00994918" w:rsidP="00994918">
      <w:pPr>
        <w:pStyle w:val="NormalWeb"/>
        <w:numPr>
          <w:ilvl w:val="0"/>
          <w:numId w:val="19"/>
        </w:numPr>
      </w:pPr>
      <w:r>
        <w:t xml:space="preserve">Nowak, P. (2024). </w:t>
      </w:r>
      <w:r>
        <w:rPr>
          <w:rStyle w:val="Emphasis"/>
          <w:rFonts w:eastAsiaTheme="majorEastAsia"/>
        </w:rPr>
        <w:t>Hybrid learning architectures in business forecasting</w:t>
      </w:r>
      <w:r>
        <w:t>. Computational Economics, 64(2), 341–357.</w:t>
      </w:r>
    </w:p>
    <w:p w:rsidR="00994918" w:rsidRDefault="00994918" w:rsidP="00994918">
      <w:pPr>
        <w:pStyle w:val="NormalWeb"/>
        <w:numPr>
          <w:ilvl w:val="0"/>
          <w:numId w:val="19"/>
        </w:numPr>
      </w:pPr>
      <w:r>
        <w:t xml:space="preserve">OECD. (2023). </w:t>
      </w:r>
      <w:r>
        <w:rPr>
          <w:rStyle w:val="Emphasis"/>
          <w:rFonts w:eastAsiaTheme="majorEastAsia"/>
        </w:rPr>
        <w:t>AI Principles for Responsible Innovation</w:t>
      </w:r>
      <w:r>
        <w:t>. OECD Publishing.</w:t>
      </w:r>
    </w:p>
    <w:p w:rsidR="00994918" w:rsidRDefault="00994918" w:rsidP="00994918">
      <w:pPr>
        <w:pStyle w:val="NormalWeb"/>
        <w:numPr>
          <w:ilvl w:val="0"/>
          <w:numId w:val="19"/>
        </w:numPr>
      </w:pPr>
      <w:r>
        <w:t xml:space="preserve">Ribeiro, M. T., Singh, S., &amp; Guestrin, C. (2016). </w:t>
      </w:r>
      <w:r>
        <w:rPr>
          <w:rStyle w:val="Emphasis"/>
          <w:rFonts w:eastAsiaTheme="majorEastAsia"/>
        </w:rPr>
        <w:t>"Why should I trust you?": Explaining the predictions of any classifier</w:t>
      </w:r>
      <w:r>
        <w:t>. Proceedings of the 22nd ACM SIGKDD, 1135–1144.</w:t>
      </w:r>
    </w:p>
    <w:p w:rsidR="00994918" w:rsidRDefault="00994918" w:rsidP="00994918">
      <w:pPr>
        <w:pStyle w:val="NormalWeb"/>
        <w:numPr>
          <w:ilvl w:val="0"/>
          <w:numId w:val="19"/>
        </w:numPr>
      </w:pPr>
      <w:r>
        <w:t xml:space="preserve">Salih, S., Patel, D., &amp; Khanna, A. (2023). </w:t>
      </w:r>
      <w:r>
        <w:rPr>
          <w:rStyle w:val="Emphasis"/>
          <w:rFonts w:eastAsiaTheme="majorEastAsia"/>
        </w:rPr>
        <w:t>Competitive intelligence and pricing elasticity in digital markets</w:t>
      </w:r>
      <w:r>
        <w:t>. Journal of Marketing Analytics, 11(1), 54–68.</w:t>
      </w:r>
    </w:p>
    <w:p w:rsidR="00994918" w:rsidRDefault="00994918" w:rsidP="00994918">
      <w:pPr>
        <w:pStyle w:val="NormalWeb"/>
        <w:numPr>
          <w:ilvl w:val="0"/>
          <w:numId w:val="19"/>
        </w:numPr>
      </w:pPr>
      <w:r>
        <w:t xml:space="preserve">Saunders, M., Lewis, P., &amp; Thornhill, A. (2023). </w:t>
      </w:r>
      <w:r>
        <w:rPr>
          <w:rStyle w:val="Emphasis"/>
          <w:rFonts w:eastAsiaTheme="majorEastAsia"/>
        </w:rPr>
        <w:t>Research Methods for Business Students</w:t>
      </w:r>
      <w:r>
        <w:t xml:space="preserve"> (9th ed.). Pearson Education.</w:t>
      </w:r>
    </w:p>
    <w:p w:rsidR="00994918" w:rsidRDefault="00994918" w:rsidP="00994918">
      <w:pPr>
        <w:pStyle w:val="NormalWeb"/>
        <w:numPr>
          <w:ilvl w:val="0"/>
          <w:numId w:val="19"/>
        </w:numPr>
      </w:pPr>
      <w:r>
        <w:t xml:space="preserve">Vimbi, T. (2024). </w:t>
      </w:r>
      <w:r>
        <w:rPr>
          <w:rStyle w:val="Emphasis"/>
          <w:rFonts w:eastAsiaTheme="majorEastAsia"/>
        </w:rPr>
        <w:t>Ethical AI adoption in predictive business analytics</w:t>
      </w:r>
      <w:r>
        <w:t>. International Review of Information Ethics, 23(1), 91–104.</w:t>
      </w:r>
    </w:p>
    <w:p w:rsidR="00994918" w:rsidRDefault="00994918" w:rsidP="00994918">
      <w:pPr>
        <w:pStyle w:val="NormalWeb"/>
        <w:numPr>
          <w:ilvl w:val="0"/>
          <w:numId w:val="19"/>
        </w:numPr>
      </w:pPr>
      <w:r>
        <w:lastRenderedPageBreak/>
        <w:t xml:space="preserve">Wang, T., &amp; Ito, M. (2024). </w:t>
      </w:r>
      <w:r>
        <w:rPr>
          <w:rStyle w:val="Emphasis"/>
          <w:rFonts w:eastAsiaTheme="majorEastAsia"/>
        </w:rPr>
        <w:t>Temporal deep learning for retail demand and pricing prediction</w:t>
      </w:r>
      <w:r>
        <w:t>. IEEE Transactions on Neural Networks, 35(6), 1987–2002.</w:t>
      </w:r>
    </w:p>
    <w:p w:rsidR="00994918" w:rsidRDefault="00994918" w:rsidP="007D6835">
      <w:pPr>
        <w:pStyle w:val="NormalWeb"/>
        <w:numPr>
          <w:ilvl w:val="0"/>
          <w:numId w:val="19"/>
        </w:numPr>
      </w:pPr>
      <w:r>
        <w:t xml:space="preserve">Mohammed, R. (2024). </w:t>
      </w:r>
      <w:r>
        <w:rPr>
          <w:rStyle w:val="Emphasis"/>
          <w:rFonts w:eastAsiaTheme="majorEastAsia"/>
        </w:rPr>
        <w:t>AI-driven pricing models for SMEs: Challenges and opportunities</w:t>
      </w:r>
      <w:r>
        <w:t>. Journal of Digital Economics, 15(2), 119–137.</w:t>
      </w:r>
    </w:p>
    <w:p w:rsidR="00767738" w:rsidRDefault="009E1119" w:rsidP="007D6835">
      <w:pPr>
        <w:pStyle w:val="NormalWeb"/>
        <w:numPr>
          <w:ilvl w:val="0"/>
          <w:numId w:val="19"/>
        </w:numPr>
      </w:pPr>
      <w:r w:rsidRPr="007D6835">
        <w:t xml:space="preserve">Basal, M., Saraç, E., &amp; Özer, K. (2024). Dynamic pricing strategies using artificial intelligence algorithms. Open Journal of Applied Sciences, 14, 1963–1978. </w:t>
      </w:r>
      <w:hyperlink r:id="rId15" w:history="1">
        <w:r w:rsidR="00767738" w:rsidRPr="00C72DA4">
          <w:rPr>
            <w:rStyle w:val="Hyperlink"/>
          </w:rPr>
          <w:t>https://doi.org/10.4236/ojapps.2024.148128</w:t>
        </w:r>
      </w:hyperlink>
    </w:p>
    <w:p w:rsidR="008B5B55" w:rsidRPr="007D6835" w:rsidRDefault="009E1119" w:rsidP="007D6835">
      <w:pPr>
        <w:pStyle w:val="NormalWeb"/>
        <w:numPr>
          <w:ilvl w:val="0"/>
          <w:numId w:val="19"/>
        </w:numPr>
      </w:pPr>
      <w:r w:rsidRPr="007D6835">
        <w:t>BCG. (2024). Overcoming retail complexity with AI-powered pricing. Boston Consulting Group. https://www.bcg.com/publications/2024/overcoming-retail-complexity-with-ai-powered-pricing</w:t>
      </w:r>
    </w:p>
    <w:p w:rsidR="008B5B55" w:rsidRPr="007D6835" w:rsidRDefault="009E1119" w:rsidP="00767738">
      <w:pPr>
        <w:pStyle w:val="ListParagraph"/>
        <w:numPr>
          <w:ilvl w:val="0"/>
          <w:numId w:val="25"/>
        </w:numPr>
      </w:pPr>
      <w:r w:rsidRPr="007D6835">
        <w:t>EY. (2023). The art of pricing in the age of AI. E</w:t>
      </w:r>
      <w:r w:rsidRPr="007D6835">
        <w:t>rnst &amp; Young. https://www.ey.com/en_in/ai/the-art-of-pricing-in-the-age-of-ai</w:t>
      </w:r>
    </w:p>
    <w:p w:rsidR="008B5B55" w:rsidRPr="007D6835" w:rsidRDefault="009E1119" w:rsidP="00767738">
      <w:pPr>
        <w:pStyle w:val="ListParagraph"/>
        <w:numPr>
          <w:ilvl w:val="0"/>
          <w:numId w:val="25"/>
        </w:numPr>
      </w:pPr>
      <w:r w:rsidRPr="007D6835">
        <w:t>Hermosilla, P., et al. (2025). Explainable AI for forensic analysis: A comparative study of SHAP and LIME. Applied Sciences, 15(13), 7329.</w:t>
      </w:r>
    </w:p>
    <w:p w:rsidR="008B5B55" w:rsidRPr="007D6835" w:rsidRDefault="009E1119" w:rsidP="00767738">
      <w:pPr>
        <w:pStyle w:val="ListParagraph"/>
        <w:numPr>
          <w:ilvl w:val="0"/>
          <w:numId w:val="25"/>
        </w:numPr>
      </w:pPr>
      <w:r w:rsidRPr="007D6835">
        <w:t>Nowak, M. (2024). Dynamic pricing metho</w:t>
      </w:r>
      <w:r w:rsidRPr="007D6835">
        <w:t>d in the e-commerce industry using machine learning. Applied Sciences, 14(24), 11668. https://doi.org/10.3390/app142411668</w:t>
      </w:r>
    </w:p>
    <w:p w:rsidR="008B5B55" w:rsidRPr="007D6835" w:rsidRDefault="009E1119" w:rsidP="00767738">
      <w:pPr>
        <w:pStyle w:val="ListParagraph"/>
        <w:numPr>
          <w:ilvl w:val="0"/>
          <w:numId w:val="25"/>
        </w:numPr>
      </w:pPr>
      <w:r w:rsidRPr="007D6835">
        <w:t>Perumallaplli, R. (2025). Machine learning algorithms for dynamic pricing optimization in retail. SSRN Electronic Journal. https://do</w:t>
      </w:r>
      <w:r w:rsidRPr="007D6835">
        <w:t>i.org/10.2139/ssrn.5228515</w:t>
      </w:r>
    </w:p>
    <w:p w:rsidR="008B5B55" w:rsidRPr="007D6835" w:rsidRDefault="009E1119" w:rsidP="00767738">
      <w:pPr>
        <w:pStyle w:val="ListParagraph"/>
        <w:numPr>
          <w:ilvl w:val="0"/>
          <w:numId w:val="25"/>
        </w:numPr>
      </w:pPr>
      <w:r w:rsidRPr="007D6835">
        <w:t>Salih, A., Raisi-Estabragh, Z., Boscolo Galazzo, I., Radeva, P., Petersen, S. E., Menegaz, G., &amp; Lekadir, K. (2023). A perspective on explainable artificial intelligence methods: SHAP and LIME. arXiv. https://arxiv.org/abs/2305.0</w:t>
      </w:r>
      <w:r w:rsidRPr="007D6835">
        <w:t>2012</w:t>
      </w:r>
    </w:p>
    <w:p w:rsidR="008B5B55" w:rsidRPr="007D6835" w:rsidRDefault="009E1119" w:rsidP="00767738">
      <w:pPr>
        <w:pStyle w:val="ListParagraph"/>
        <w:numPr>
          <w:ilvl w:val="0"/>
          <w:numId w:val="25"/>
        </w:numPr>
      </w:pPr>
      <w:r w:rsidRPr="007D6835">
        <w:t>Sánchez, E., et al. (2025). Artificial intelligence adoption in SMEs: Survey based on TOE and DOI frameworks. Applied Sciences, 15(12), 6465.</w:t>
      </w:r>
    </w:p>
    <w:p w:rsidR="008B5B55" w:rsidRPr="007D6835" w:rsidRDefault="009E1119" w:rsidP="00767738">
      <w:pPr>
        <w:pStyle w:val="ListParagraph"/>
        <w:numPr>
          <w:ilvl w:val="0"/>
          <w:numId w:val="25"/>
        </w:numPr>
      </w:pPr>
      <w:r w:rsidRPr="007D6835">
        <w:t>Vimbi, V. (2024). Interpreting artificial intelligence models: A systematic review of SHAP and LIME applicati</w:t>
      </w:r>
      <w:r w:rsidRPr="007D6835">
        <w:t>ons. Brain Informatics, 11, Article 22. https://doi.org/10.1186/s40708-024-00222-1</w:t>
      </w:r>
    </w:p>
    <w:p w:rsidR="008B5B55" w:rsidRPr="007D6835" w:rsidRDefault="009E1119" w:rsidP="00767738">
      <w:pPr>
        <w:pStyle w:val="ListParagraph"/>
        <w:numPr>
          <w:ilvl w:val="0"/>
          <w:numId w:val="25"/>
        </w:numPr>
      </w:pPr>
      <w:r w:rsidRPr="007D6835">
        <w:t>Uhunmwangho, O. P. (2024). Comparing XGBoost and LSTM models for prediction: A case study. Mountain Top University Journal of Applied Science and Technology, 4(2), 64-88.</w:t>
      </w:r>
    </w:p>
    <w:p w:rsidR="008B5B55" w:rsidRPr="007D6835" w:rsidRDefault="009E1119" w:rsidP="00767738">
      <w:pPr>
        <w:pStyle w:val="ListParagraph"/>
        <w:numPr>
          <w:ilvl w:val="0"/>
          <w:numId w:val="25"/>
        </w:numPr>
      </w:pPr>
      <w:r w:rsidRPr="007D6835">
        <w:t>Mo</w:t>
      </w:r>
      <w:r w:rsidRPr="007D6835">
        <w:t>hammed, I. (2024). Stakeholder perspectives on integrating explainable AI in revenue management systems. Journal of Revenue &amp; Pricing Management. https://doi.org/10.1177/13548166251382289</w:t>
      </w:r>
    </w:p>
    <w:p w:rsidR="008B5B55" w:rsidRPr="007D6835" w:rsidRDefault="009E1119" w:rsidP="00767738">
      <w:pPr>
        <w:pStyle w:val="ListParagraph"/>
        <w:numPr>
          <w:ilvl w:val="0"/>
          <w:numId w:val="25"/>
        </w:numPr>
      </w:pPr>
      <w:r w:rsidRPr="007D6835">
        <w:t>Economic Times. (2024). Digital divide: MSMEs struggle to tap into A</w:t>
      </w:r>
      <w:r w:rsidRPr="007D6835">
        <w:t>I revolution as high costs block access. https://economictimes.indiatimes.com/small-biz/sme-sector/digital-divide-msmes-struggle-to-tap-into-ai-revolution-as-high-costs-block-access/articleshow/121924294.cms</w:t>
      </w:r>
    </w:p>
    <w:p w:rsidR="008B5B55" w:rsidRPr="007D6835" w:rsidRDefault="009E1119" w:rsidP="00767738">
      <w:pPr>
        <w:pStyle w:val="ListParagraph"/>
        <w:numPr>
          <w:ilvl w:val="0"/>
          <w:numId w:val="25"/>
        </w:numPr>
      </w:pPr>
      <w:r w:rsidRPr="007D6835">
        <w:lastRenderedPageBreak/>
        <w:t>Reuters. (2024). Manufacturers slow Gen AI rollo</w:t>
      </w:r>
      <w:r w:rsidRPr="007D6835">
        <w:t>ut on rising accuracy concerns. https://www.reuters.com/technology/artificial-intelligence/manufacturers-slow-gen-ai-rollout-rising-accuracy-concerns-says-study-2024-07-10/</w:t>
      </w:r>
    </w:p>
    <w:p w:rsidR="008B5B55" w:rsidRPr="007D6835" w:rsidRDefault="009E1119" w:rsidP="00767738">
      <w:pPr>
        <w:pStyle w:val="ListParagraph"/>
        <w:numPr>
          <w:ilvl w:val="0"/>
          <w:numId w:val="25"/>
        </w:numPr>
      </w:pPr>
      <w:r w:rsidRPr="007D6835">
        <w:t xml:space="preserve">DataIntelo. (2025). AI-powered dynamic pricing retail market research report 2033. </w:t>
      </w:r>
      <w:r w:rsidRPr="007D6835">
        <w:t>https://dataintelo.com/report/ai-powered-dynamic-pricing-retail-market</w:t>
      </w:r>
    </w:p>
    <w:sectPr w:rsidR="008B5B55" w:rsidRPr="007D68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119" w:rsidRDefault="009E1119" w:rsidP="00EF018B">
      <w:pPr>
        <w:spacing w:after="0" w:line="240" w:lineRule="auto"/>
      </w:pPr>
      <w:r>
        <w:separator/>
      </w:r>
    </w:p>
  </w:endnote>
  <w:endnote w:type="continuationSeparator" w:id="0">
    <w:p w:rsidR="009E1119" w:rsidRDefault="009E1119" w:rsidP="00EF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119" w:rsidRDefault="009E1119" w:rsidP="00EF018B">
      <w:pPr>
        <w:spacing w:after="0" w:line="240" w:lineRule="auto"/>
      </w:pPr>
      <w:r>
        <w:separator/>
      </w:r>
    </w:p>
  </w:footnote>
  <w:footnote w:type="continuationSeparator" w:id="0">
    <w:p w:rsidR="009E1119" w:rsidRDefault="009E1119" w:rsidP="00EF01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DB616E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9092E"/>
    <w:multiLevelType w:val="multilevel"/>
    <w:tmpl w:val="AD8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F79C3"/>
    <w:multiLevelType w:val="hybridMultilevel"/>
    <w:tmpl w:val="042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B5267"/>
    <w:multiLevelType w:val="hybridMultilevel"/>
    <w:tmpl w:val="0DB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764CC5"/>
    <w:multiLevelType w:val="multilevel"/>
    <w:tmpl w:val="F150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700B1F"/>
    <w:multiLevelType w:val="multilevel"/>
    <w:tmpl w:val="939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B77EE"/>
    <w:multiLevelType w:val="multilevel"/>
    <w:tmpl w:val="754A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B08DF"/>
    <w:multiLevelType w:val="multilevel"/>
    <w:tmpl w:val="E67C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16AB1"/>
    <w:multiLevelType w:val="multilevel"/>
    <w:tmpl w:val="89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B0C11"/>
    <w:multiLevelType w:val="multilevel"/>
    <w:tmpl w:val="31B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021E9"/>
    <w:multiLevelType w:val="hybridMultilevel"/>
    <w:tmpl w:val="4574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D575F"/>
    <w:multiLevelType w:val="hybridMultilevel"/>
    <w:tmpl w:val="40DE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8B5541"/>
    <w:multiLevelType w:val="hybridMultilevel"/>
    <w:tmpl w:val="D5E8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777F7"/>
    <w:multiLevelType w:val="multilevel"/>
    <w:tmpl w:val="2D2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45282"/>
    <w:multiLevelType w:val="multilevel"/>
    <w:tmpl w:val="FC5C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19649D"/>
    <w:multiLevelType w:val="hybridMultilevel"/>
    <w:tmpl w:val="3A94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701614"/>
    <w:multiLevelType w:val="multilevel"/>
    <w:tmpl w:val="408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22"/>
  </w:num>
  <w:num w:numId="13">
    <w:abstractNumId w:val="13"/>
  </w:num>
  <w:num w:numId="14">
    <w:abstractNumId w:val="17"/>
  </w:num>
  <w:num w:numId="15">
    <w:abstractNumId w:val="24"/>
  </w:num>
  <w:num w:numId="16">
    <w:abstractNumId w:val="23"/>
  </w:num>
  <w:num w:numId="17">
    <w:abstractNumId w:val="16"/>
  </w:num>
  <w:num w:numId="18">
    <w:abstractNumId w:val="12"/>
  </w:num>
  <w:num w:numId="19">
    <w:abstractNumId w:val="9"/>
  </w:num>
  <w:num w:numId="20">
    <w:abstractNumId w:val="14"/>
  </w:num>
  <w:num w:numId="21">
    <w:abstractNumId w:val="18"/>
  </w:num>
  <w:num w:numId="22">
    <w:abstractNumId w:val="20"/>
  </w:num>
  <w:num w:numId="23">
    <w:abstractNumId w:val="11"/>
  </w:num>
  <w:num w:numId="24">
    <w:abstractNumId w:val="19"/>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22AF"/>
    <w:rsid w:val="0015074B"/>
    <w:rsid w:val="00260986"/>
    <w:rsid w:val="002701BD"/>
    <w:rsid w:val="0029639D"/>
    <w:rsid w:val="002E6827"/>
    <w:rsid w:val="00326F90"/>
    <w:rsid w:val="003E0298"/>
    <w:rsid w:val="003F6F37"/>
    <w:rsid w:val="00471910"/>
    <w:rsid w:val="00512C78"/>
    <w:rsid w:val="005F614E"/>
    <w:rsid w:val="006D1546"/>
    <w:rsid w:val="00715805"/>
    <w:rsid w:val="00767738"/>
    <w:rsid w:val="007D6835"/>
    <w:rsid w:val="008014C1"/>
    <w:rsid w:val="00801947"/>
    <w:rsid w:val="00890C31"/>
    <w:rsid w:val="008A42F6"/>
    <w:rsid w:val="008B5B55"/>
    <w:rsid w:val="00943024"/>
    <w:rsid w:val="0096208D"/>
    <w:rsid w:val="00970BB6"/>
    <w:rsid w:val="00994918"/>
    <w:rsid w:val="009A6140"/>
    <w:rsid w:val="009C19A9"/>
    <w:rsid w:val="009E1119"/>
    <w:rsid w:val="00A31545"/>
    <w:rsid w:val="00AA1D8D"/>
    <w:rsid w:val="00B47730"/>
    <w:rsid w:val="00C90FD4"/>
    <w:rsid w:val="00CB0664"/>
    <w:rsid w:val="00CE6669"/>
    <w:rsid w:val="00D42B83"/>
    <w:rsid w:val="00DD1E55"/>
    <w:rsid w:val="00E07358"/>
    <w:rsid w:val="00E40A60"/>
    <w:rsid w:val="00EC66E6"/>
    <w:rsid w:val="00ED2498"/>
    <w:rsid w:val="00EF018B"/>
    <w:rsid w:val="00F84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F2F89"/>
  <w14:defaultImageDpi w14:val="300"/>
  <w15:docId w15:val="{6E0BF670-1FFE-4B45-B23C-4D8CC005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mbria" w:eastAsia="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F6F37"/>
    <w:pPr>
      <w:spacing w:before="100" w:beforeAutospacing="1" w:after="100" w:afterAutospacing="1" w:line="240" w:lineRule="auto"/>
    </w:pPr>
    <w:rPr>
      <w:rFonts w:ascii="Times New Roman" w:eastAsia="Times New Roman" w:hAnsi="Times New Roman" w:cs="Times New Roman"/>
      <w:szCs w:val="24"/>
    </w:rPr>
  </w:style>
  <w:style w:type="character" w:customStyle="1" w:styleId="katex-mathml">
    <w:name w:val="katex-mathml"/>
    <w:basedOn w:val="DefaultParagraphFont"/>
    <w:rsid w:val="003F6F37"/>
  </w:style>
  <w:style w:type="character" w:customStyle="1" w:styleId="mord">
    <w:name w:val="mord"/>
    <w:basedOn w:val="DefaultParagraphFont"/>
    <w:rsid w:val="003F6F37"/>
  </w:style>
  <w:style w:type="character" w:customStyle="1" w:styleId="mrel">
    <w:name w:val="mrel"/>
    <w:basedOn w:val="DefaultParagraphFont"/>
    <w:rsid w:val="003F6F37"/>
  </w:style>
  <w:style w:type="character" w:customStyle="1" w:styleId="mbin">
    <w:name w:val="mbin"/>
    <w:basedOn w:val="DefaultParagraphFont"/>
    <w:rsid w:val="003F6F37"/>
  </w:style>
  <w:style w:type="character" w:customStyle="1" w:styleId="mopen">
    <w:name w:val="mopen"/>
    <w:basedOn w:val="DefaultParagraphFont"/>
    <w:rsid w:val="003F6F37"/>
  </w:style>
  <w:style w:type="character" w:customStyle="1" w:styleId="vlist-s">
    <w:name w:val="vlist-s"/>
    <w:basedOn w:val="DefaultParagraphFont"/>
    <w:rsid w:val="003F6F37"/>
  </w:style>
  <w:style w:type="character" w:customStyle="1" w:styleId="mclose">
    <w:name w:val="mclose"/>
    <w:basedOn w:val="DefaultParagraphFont"/>
    <w:rsid w:val="003F6F37"/>
  </w:style>
  <w:style w:type="character" w:customStyle="1" w:styleId="mop">
    <w:name w:val="mop"/>
    <w:basedOn w:val="DefaultParagraphFont"/>
    <w:rsid w:val="003F6F37"/>
  </w:style>
  <w:style w:type="paragraph" w:styleId="HTMLPreformatted">
    <w:name w:val="HTML Preformatted"/>
    <w:basedOn w:val="Normal"/>
    <w:link w:val="HTMLPreformattedChar"/>
    <w:uiPriority w:val="99"/>
    <w:semiHidden/>
    <w:unhideWhenUsed/>
    <w:rsid w:val="00E4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0A60"/>
    <w:rPr>
      <w:rFonts w:ascii="Courier New" w:eastAsia="Times New Roman" w:hAnsi="Courier New" w:cs="Courier New"/>
      <w:sz w:val="20"/>
      <w:szCs w:val="20"/>
    </w:rPr>
  </w:style>
  <w:style w:type="character" w:styleId="Hyperlink">
    <w:name w:val="Hyperlink"/>
    <w:basedOn w:val="DefaultParagraphFont"/>
    <w:uiPriority w:val="99"/>
    <w:unhideWhenUsed/>
    <w:rsid w:val="007677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249045">
      <w:bodyDiv w:val="1"/>
      <w:marLeft w:val="0"/>
      <w:marRight w:val="0"/>
      <w:marTop w:val="0"/>
      <w:marBottom w:val="0"/>
      <w:divBdr>
        <w:top w:val="none" w:sz="0" w:space="0" w:color="auto"/>
        <w:left w:val="none" w:sz="0" w:space="0" w:color="auto"/>
        <w:bottom w:val="none" w:sz="0" w:space="0" w:color="auto"/>
        <w:right w:val="none" w:sz="0" w:space="0" w:color="auto"/>
      </w:divBdr>
    </w:div>
    <w:div w:id="877857521">
      <w:bodyDiv w:val="1"/>
      <w:marLeft w:val="0"/>
      <w:marRight w:val="0"/>
      <w:marTop w:val="0"/>
      <w:marBottom w:val="0"/>
      <w:divBdr>
        <w:top w:val="none" w:sz="0" w:space="0" w:color="auto"/>
        <w:left w:val="none" w:sz="0" w:space="0" w:color="auto"/>
        <w:bottom w:val="none" w:sz="0" w:space="0" w:color="auto"/>
        <w:right w:val="none" w:sz="0" w:space="0" w:color="auto"/>
      </w:divBdr>
    </w:div>
    <w:div w:id="1027022298">
      <w:bodyDiv w:val="1"/>
      <w:marLeft w:val="0"/>
      <w:marRight w:val="0"/>
      <w:marTop w:val="0"/>
      <w:marBottom w:val="0"/>
      <w:divBdr>
        <w:top w:val="none" w:sz="0" w:space="0" w:color="auto"/>
        <w:left w:val="none" w:sz="0" w:space="0" w:color="auto"/>
        <w:bottom w:val="none" w:sz="0" w:space="0" w:color="auto"/>
        <w:right w:val="none" w:sz="0" w:space="0" w:color="auto"/>
      </w:divBdr>
      <w:divsChild>
        <w:div w:id="46303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860566">
          <w:marLeft w:val="0"/>
          <w:marRight w:val="0"/>
          <w:marTop w:val="0"/>
          <w:marBottom w:val="0"/>
          <w:divBdr>
            <w:top w:val="none" w:sz="0" w:space="0" w:color="auto"/>
            <w:left w:val="none" w:sz="0" w:space="0" w:color="auto"/>
            <w:bottom w:val="none" w:sz="0" w:space="0" w:color="auto"/>
            <w:right w:val="none" w:sz="0" w:space="0" w:color="auto"/>
          </w:divBdr>
          <w:divsChild>
            <w:div w:id="2022387584">
              <w:marLeft w:val="0"/>
              <w:marRight w:val="0"/>
              <w:marTop w:val="0"/>
              <w:marBottom w:val="0"/>
              <w:divBdr>
                <w:top w:val="none" w:sz="0" w:space="0" w:color="auto"/>
                <w:left w:val="none" w:sz="0" w:space="0" w:color="auto"/>
                <w:bottom w:val="none" w:sz="0" w:space="0" w:color="auto"/>
                <w:right w:val="none" w:sz="0" w:space="0" w:color="auto"/>
              </w:divBdr>
            </w:div>
          </w:divsChild>
        </w:div>
        <w:div w:id="1481381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644481">
          <w:marLeft w:val="0"/>
          <w:marRight w:val="0"/>
          <w:marTop w:val="0"/>
          <w:marBottom w:val="0"/>
          <w:divBdr>
            <w:top w:val="none" w:sz="0" w:space="0" w:color="auto"/>
            <w:left w:val="none" w:sz="0" w:space="0" w:color="auto"/>
            <w:bottom w:val="none" w:sz="0" w:space="0" w:color="auto"/>
            <w:right w:val="none" w:sz="0" w:space="0" w:color="auto"/>
          </w:divBdr>
          <w:divsChild>
            <w:div w:id="828596042">
              <w:marLeft w:val="0"/>
              <w:marRight w:val="0"/>
              <w:marTop w:val="0"/>
              <w:marBottom w:val="0"/>
              <w:divBdr>
                <w:top w:val="none" w:sz="0" w:space="0" w:color="auto"/>
                <w:left w:val="none" w:sz="0" w:space="0" w:color="auto"/>
                <w:bottom w:val="none" w:sz="0" w:space="0" w:color="auto"/>
                <w:right w:val="none" w:sz="0" w:space="0" w:color="auto"/>
              </w:divBdr>
            </w:div>
          </w:divsChild>
        </w:div>
        <w:div w:id="722289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061695">
      <w:bodyDiv w:val="1"/>
      <w:marLeft w:val="0"/>
      <w:marRight w:val="0"/>
      <w:marTop w:val="0"/>
      <w:marBottom w:val="0"/>
      <w:divBdr>
        <w:top w:val="none" w:sz="0" w:space="0" w:color="auto"/>
        <w:left w:val="none" w:sz="0" w:space="0" w:color="auto"/>
        <w:bottom w:val="none" w:sz="0" w:space="0" w:color="auto"/>
        <w:right w:val="none" w:sz="0" w:space="0" w:color="auto"/>
      </w:divBdr>
    </w:div>
    <w:div w:id="1201477987">
      <w:bodyDiv w:val="1"/>
      <w:marLeft w:val="0"/>
      <w:marRight w:val="0"/>
      <w:marTop w:val="0"/>
      <w:marBottom w:val="0"/>
      <w:divBdr>
        <w:top w:val="none" w:sz="0" w:space="0" w:color="auto"/>
        <w:left w:val="none" w:sz="0" w:space="0" w:color="auto"/>
        <w:bottom w:val="none" w:sz="0" w:space="0" w:color="auto"/>
        <w:right w:val="none" w:sz="0" w:space="0" w:color="auto"/>
      </w:divBdr>
      <w:divsChild>
        <w:div w:id="12847042">
          <w:marLeft w:val="0"/>
          <w:marRight w:val="0"/>
          <w:marTop w:val="0"/>
          <w:marBottom w:val="0"/>
          <w:divBdr>
            <w:top w:val="none" w:sz="0" w:space="0" w:color="auto"/>
            <w:left w:val="none" w:sz="0" w:space="0" w:color="auto"/>
            <w:bottom w:val="none" w:sz="0" w:space="0" w:color="auto"/>
            <w:right w:val="none" w:sz="0" w:space="0" w:color="auto"/>
          </w:divBdr>
          <w:divsChild>
            <w:div w:id="18181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03947">
      <w:bodyDiv w:val="1"/>
      <w:marLeft w:val="0"/>
      <w:marRight w:val="0"/>
      <w:marTop w:val="0"/>
      <w:marBottom w:val="0"/>
      <w:divBdr>
        <w:top w:val="none" w:sz="0" w:space="0" w:color="auto"/>
        <w:left w:val="none" w:sz="0" w:space="0" w:color="auto"/>
        <w:bottom w:val="none" w:sz="0" w:space="0" w:color="auto"/>
        <w:right w:val="none" w:sz="0" w:space="0" w:color="auto"/>
      </w:divBdr>
      <w:divsChild>
        <w:div w:id="392656941">
          <w:marLeft w:val="0"/>
          <w:marRight w:val="0"/>
          <w:marTop w:val="0"/>
          <w:marBottom w:val="0"/>
          <w:divBdr>
            <w:top w:val="none" w:sz="0" w:space="0" w:color="auto"/>
            <w:left w:val="none" w:sz="0" w:space="0" w:color="auto"/>
            <w:bottom w:val="none" w:sz="0" w:space="0" w:color="auto"/>
            <w:right w:val="none" w:sz="0" w:space="0" w:color="auto"/>
          </w:divBdr>
          <w:divsChild>
            <w:div w:id="1993945189">
              <w:marLeft w:val="0"/>
              <w:marRight w:val="0"/>
              <w:marTop w:val="0"/>
              <w:marBottom w:val="0"/>
              <w:divBdr>
                <w:top w:val="none" w:sz="0" w:space="0" w:color="auto"/>
                <w:left w:val="none" w:sz="0" w:space="0" w:color="auto"/>
                <w:bottom w:val="none" w:sz="0" w:space="0" w:color="auto"/>
                <w:right w:val="none" w:sz="0" w:space="0" w:color="auto"/>
              </w:divBdr>
              <w:divsChild>
                <w:div w:id="845944379">
                  <w:marLeft w:val="0"/>
                  <w:marRight w:val="0"/>
                  <w:marTop w:val="0"/>
                  <w:marBottom w:val="0"/>
                  <w:divBdr>
                    <w:top w:val="none" w:sz="0" w:space="0" w:color="auto"/>
                    <w:left w:val="none" w:sz="0" w:space="0" w:color="auto"/>
                    <w:bottom w:val="none" w:sz="0" w:space="0" w:color="auto"/>
                    <w:right w:val="none" w:sz="0" w:space="0" w:color="auto"/>
                  </w:divBdr>
                  <w:divsChild>
                    <w:div w:id="1424911335">
                      <w:marLeft w:val="0"/>
                      <w:marRight w:val="0"/>
                      <w:marTop w:val="0"/>
                      <w:marBottom w:val="0"/>
                      <w:divBdr>
                        <w:top w:val="none" w:sz="0" w:space="0" w:color="auto"/>
                        <w:left w:val="none" w:sz="0" w:space="0" w:color="auto"/>
                        <w:bottom w:val="none" w:sz="0" w:space="0" w:color="auto"/>
                        <w:right w:val="none" w:sz="0" w:space="0" w:color="auto"/>
                      </w:divBdr>
                    </w:div>
                  </w:divsChild>
                </w:div>
                <w:div w:id="394208971">
                  <w:marLeft w:val="0"/>
                  <w:marRight w:val="0"/>
                  <w:marTop w:val="0"/>
                  <w:marBottom w:val="0"/>
                  <w:divBdr>
                    <w:top w:val="none" w:sz="0" w:space="0" w:color="auto"/>
                    <w:left w:val="none" w:sz="0" w:space="0" w:color="auto"/>
                    <w:bottom w:val="none" w:sz="0" w:space="0" w:color="auto"/>
                    <w:right w:val="none" w:sz="0" w:space="0" w:color="auto"/>
                  </w:divBdr>
                  <w:divsChild>
                    <w:div w:id="1819958893">
                      <w:marLeft w:val="0"/>
                      <w:marRight w:val="0"/>
                      <w:marTop w:val="0"/>
                      <w:marBottom w:val="0"/>
                      <w:divBdr>
                        <w:top w:val="none" w:sz="0" w:space="0" w:color="auto"/>
                        <w:left w:val="none" w:sz="0" w:space="0" w:color="auto"/>
                        <w:bottom w:val="none" w:sz="0" w:space="0" w:color="auto"/>
                        <w:right w:val="none" w:sz="0" w:space="0" w:color="auto"/>
                      </w:divBdr>
                    </w:div>
                  </w:divsChild>
                </w:div>
                <w:div w:id="734091121">
                  <w:marLeft w:val="0"/>
                  <w:marRight w:val="0"/>
                  <w:marTop w:val="0"/>
                  <w:marBottom w:val="0"/>
                  <w:divBdr>
                    <w:top w:val="none" w:sz="0" w:space="0" w:color="auto"/>
                    <w:left w:val="none" w:sz="0" w:space="0" w:color="auto"/>
                    <w:bottom w:val="none" w:sz="0" w:space="0" w:color="auto"/>
                    <w:right w:val="none" w:sz="0" w:space="0" w:color="auto"/>
                  </w:divBdr>
                  <w:divsChild>
                    <w:div w:id="1580286671">
                      <w:marLeft w:val="0"/>
                      <w:marRight w:val="0"/>
                      <w:marTop w:val="0"/>
                      <w:marBottom w:val="0"/>
                      <w:divBdr>
                        <w:top w:val="none" w:sz="0" w:space="0" w:color="auto"/>
                        <w:left w:val="none" w:sz="0" w:space="0" w:color="auto"/>
                        <w:bottom w:val="none" w:sz="0" w:space="0" w:color="auto"/>
                        <w:right w:val="none" w:sz="0" w:space="0" w:color="auto"/>
                      </w:divBdr>
                    </w:div>
                  </w:divsChild>
                </w:div>
                <w:div w:id="1797873899">
                  <w:marLeft w:val="0"/>
                  <w:marRight w:val="0"/>
                  <w:marTop w:val="0"/>
                  <w:marBottom w:val="0"/>
                  <w:divBdr>
                    <w:top w:val="none" w:sz="0" w:space="0" w:color="auto"/>
                    <w:left w:val="none" w:sz="0" w:space="0" w:color="auto"/>
                    <w:bottom w:val="none" w:sz="0" w:space="0" w:color="auto"/>
                    <w:right w:val="none" w:sz="0" w:space="0" w:color="auto"/>
                  </w:divBdr>
                  <w:divsChild>
                    <w:div w:id="436369586">
                      <w:marLeft w:val="0"/>
                      <w:marRight w:val="0"/>
                      <w:marTop w:val="0"/>
                      <w:marBottom w:val="0"/>
                      <w:divBdr>
                        <w:top w:val="none" w:sz="0" w:space="0" w:color="auto"/>
                        <w:left w:val="none" w:sz="0" w:space="0" w:color="auto"/>
                        <w:bottom w:val="none" w:sz="0" w:space="0" w:color="auto"/>
                        <w:right w:val="none" w:sz="0" w:space="0" w:color="auto"/>
                      </w:divBdr>
                    </w:div>
                  </w:divsChild>
                </w:div>
                <w:div w:id="1289313067">
                  <w:marLeft w:val="0"/>
                  <w:marRight w:val="0"/>
                  <w:marTop w:val="0"/>
                  <w:marBottom w:val="0"/>
                  <w:divBdr>
                    <w:top w:val="none" w:sz="0" w:space="0" w:color="auto"/>
                    <w:left w:val="none" w:sz="0" w:space="0" w:color="auto"/>
                    <w:bottom w:val="none" w:sz="0" w:space="0" w:color="auto"/>
                    <w:right w:val="none" w:sz="0" w:space="0" w:color="auto"/>
                  </w:divBdr>
                  <w:divsChild>
                    <w:div w:id="1153985595">
                      <w:marLeft w:val="0"/>
                      <w:marRight w:val="0"/>
                      <w:marTop w:val="0"/>
                      <w:marBottom w:val="0"/>
                      <w:divBdr>
                        <w:top w:val="none" w:sz="0" w:space="0" w:color="auto"/>
                        <w:left w:val="none" w:sz="0" w:space="0" w:color="auto"/>
                        <w:bottom w:val="none" w:sz="0" w:space="0" w:color="auto"/>
                        <w:right w:val="none" w:sz="0" w:space="0" w:color="auto"/>
                      </w:divBdr>
                    </w:div>
                  </w:divsChild>
                </w:div>
                <w:div w:id="638925535">
                  <w:marLeft w:val="0"/>
                  <w:marRight w:val="0"/>
                  <w:marTop w:val="0"/>
                  <w:marBottom w:val="0"/>
                  <w:divBdr>
                    <w:top w:val="none" w:sz="0" w:space="0" w:color="auto"/>
                    <w:left w:val="none" w:sz="0" w:space="0" w:color="auto"/>
                    <w:bottom w:val="none" w:sz="0" w:space="0" w:color="auto"/>
                    <w:right w:val="none" w:sz="0" w:space="0" w:color="auto"/>
                  </w:divBdr>
                  <w:divsChild>
                    <w:div w:id="331686735">
                      <w:marLeft w:val="0"/>
                      <w:marRight w:val="0"/>
                      <w:marTop w:val="0"/>
                      <w:marBottom w:val="0"/>
                      <w:divBdr>
                        <w:top w:val="none" w:sz="0" w:space="0" w:color="auto"/>
                        <w:left w:val="none" w:sz="0" w:space="0" w:color="auto"/>
                        <w:bottom w:val="none" w:sz="0" w:space="0" w:color="auto"/>
                        <w:right w:val="none" w:sz="0" w:space="0" w:color="auto"/>
                      </w:divBdr>
                    </w:div>
                  </w:divsChild>
                </w:div>
                <w:div w:id="483619402">
                  <w:marLeft w:val="0"/>
                  <w:marRight w:val="0"/>
                  <w:marTop w:val="0"/>
                  <w:marBottom w:val="0"/>
                  <w:divBdr>
                    <w:top w:val="none" w:sz="0" w:space="0" w:color="auto"/>
                    <w:left w:val="none" w:sz="0" w:space="0" w:color="auto"/>
                    <w:bottom w:val="none" w:sz="0" w:space="0" w:color="auto"/>
                    <w:right w:val="none" w:sz="0" w:space="0" w:color="auto"/>
                  </w:divBdr>
                  <w:divsChild>
                    <w:div w:id="470907263">
                      <w:marLeft w:val="0"/>
                      <w:marRight w:val="0"/>
                      <w:marTop w:val="0"/>
                      <w:marBottom w:val="0"/>
                      <w:divBdr>
                        <w:top w:val="none" w:sz="0" w:space="0" w:color="auto"/>
                        <w:left w:val="none" w:sz="0" w:space="0" w:color="auto"/>
                        <w:bottom w:val="none" w:sz="0" w:space="0" w:color="auto"/>
                        <w:right w:val="none" w:sz="0" w:space="0" w:color="auto"/>
                      </w:divBdr>
                    </w:div>
                  </w:divsChild>
                </w:div>
                <w:div w:id="1094672198">
                  <w:marLeft w:val="0"/>
                  <w:marRight w:val="0"/>
                  <w:marTop w:val="0"/>
                  <w:marBottom w:val="0"/>
                  <w:divBdr>
                    <w:top w:val="none" w:sz="0" w:space="0" w:color="auto"/>
                    <w:left w:val="none" w:sz="0" w:space="0" w:color="auto"/>
                    <w:bottom w:val="none" w:sz="0" w:space="0" w:color="auto"/>
                    <w:right w:val="none" w:sz="0" w:space="0" w:color="auto"/>
                  </w:divBdr>
                  <w:divsChild>
                    <w:div w:id="736169503">
                      <w:marLeft w:val="0"/>
                      <w:marRight w:val="0"/>
                      <w:marTop w:val="0"/>
                      <w:marBottom w:val="0"/>
                      <w:divBdr>
                        <w:top w:val="none" w:sz="0" w:space="0" w:color="auto"/>
                        <w:left w:val="none" w:sz="0" w:space="0" w:color="auto"/>
                        <w:bottom w:val="none" w:sz="0" w:space="0" w:color="auto"/>
                        <w:right w:val="none" w:sz="0" w:space="0" w:color="auto"/>
                      </w:divBdr>
                    </w:div>
                  </w:divsChild>
                </w:div>
                <w:div w:id="1519659485">
                  <w:marLeft w:val="0"/>
                  <w:marRight w:val="0"/>
                  <w:marTop w:val="0"/>
                  <w:marBottom w:val="0"/>
                  <w:divBdr>
                    <w:top w:val="none" w:sz="0" w:space="0" w:color="auto"/>
                    <w:left w:val="none" w:sz="0" w:space="0" w:color="auto"/>
                    <w:bottom w:val="none" w:sz="0" w:space="0" w:color="auto"/>
                    <w:right w:val="none" w:sz="0" w:space="0" w:color="auto"/>
                  </w:divBdr>
                  <w:divsChild>
                    <w:div w:id="838084840">
                      <w:marLeft w:val="0"/>
                      <w:marRight w:val="0"/>
                      <w:marTop w:val="0"/>
                      <w:marBottom w:val="0"/>
                      <w:divBdr>
                        <w:top w:val="none" w:sz="0" w:space="0" w:color="auto"/>
                        <w:left w:val="none" w:sz="0" w:space="0" w:color="auto"/>
                        <w:bottom w:val="none" w:sz="0" w:space="0" w:color="auto"/>
                        <w:right w:val="none" w:sz="0" w:space="0" w:color="auto"/>
                      </w:divBdr>
                    </w:div>
                  </w:divsChild>
                </w:div>
                <w:div w:id="99615900">
                  <w:marLeft w:val="0"/>
                  <w:marRight w:val="0"/>
                  <w:marTop w:val="0"/>
                  <w:marBottom w:val="0"/>
                  <w:divBdr>
                    <w:top w:val="none" w:sz="0" w:space="0" w:color="auto"/>
                    <w:left w:val="none" w:sz="0" w:space="0" w:color="auto"/>
                    <w:bottom w:val="none" w:sz="0" w:space="0" w:color="auto"/>
                    <w:right w:val="none" w:sz="0" w:space="0" w:color="auto"/>
                  </w:divBdr>
                  <w:divsChild>
                    <w:div w:id="184559435">
                      <w:marLeft w:val="0"/>
                      <w:marRight w:val="0"/>
                      <w:marTop w:val="0"/>
                      <w:marBottom w:val="0"/>
                      <w:divBdr>
                        <w:top w:val="none" w:sz="0" w:space="0" w:color="auto"/>
                        <w:left w:val="none" w:sz="0" w:space="0" w:color="auto"/>
                        <w:bottom w:val="none" w:sz="0" w:space="0" w:color="auto"/>
                        <w:right w:val="none" w:sz="0" w:space="0" w:color="auto"/>
                      </w:divBdr>
                    </w:div>
                  </w:divsChild>
                </w:div>
                <w:div w:id="1763791395">
                  <w:marLeft w:val="0"/>
                  <w:marRight w:val="0"/>
                  <w:marTop w:val="0"/>
                  <w:marBottom w:val="0"/>
                  <w:divBdr>
                    <w:top w:val="none" w:sz="0" w:space="0" w:color="auto"/>
                    <w:left w:val="none" w:sz="0" w:space="0" w:color="auto"/>
                    <w:bottom w:val="none" w:sz="0" w:space="0" w:color="auto"/>
                    <w:right w:val="none" w:sz="0" w:space="0" w:color="auto"/>
                  </w:divBdr>
                  <w:divsChild>
                    <w:div w:id="1529180998">
                      <w:marLeft w:val="0"/>
                      <w:marRight w:val="0"/>
                      <w:marTop w:val="0"/>
                      <w:marBottom w:val="0"/>
                      <w:divBdr>
                        <w:top w:val="none" w:sz="0" w:space="0" w:color="auto"/>
                        <w:left w:val="none" w:sz="0" w:space="0" w:color="auto"/>
                        <w:bottom w:val="none" w:sz="0" w:space="0" w:color="auto"/>
                        <w:right w:val="none" w:sz="0" w:space="0" w:color="auto"/>
                      </w:divBdr>
                    </w:div>
                  </w:divsChild>
                </w:div>
                <w:div w:id="168255120">
                  <w:marLeft w:val="0"/>
                  <w:marRight w:val="0"/>
                  <w:marTop w:val="0"/>
                  <w:marBottom w:val="0"/>
                  <w:divBdr>
                    <w:top w:val="none" w:sz="0" w:space="0" w:color="auto"/>
                    <w:left w:val="none" w:sz="0" w:space="0" w:color="auto"/>
                    <w:bottom w:val="none" w:sz="0" w:space="0" w:color="auto"/>
                    <w:right w:val="none" w:sz="0" w:space="0" w:color="auto"/>
                  </w:divBdr>
                  <w:divsChild>
                    <w:div w:id="977102889">
                      <w:marLeft w:val="0"/>
                      <w:marRight w:val="0"/>
                      <w:marTop w:val="0"/>
                      <w:marBottom w:val="0"/>
                      <w:divBdr>
                        <w:top w:val="none" w:sz="0" w:space="0" w:color="auto"/>
                        <w:left w:val="none" w:sz="0" w:space="0" w:color="auto"/>
                        <w:bottom w:val="none" w:sz="0" w:space="0" w:color="auto"/>
                        <w:right w:val="none" w:sz="0" w:space="0" w:color="auto"/>
                      </w:divBdr>
                    </w:div>
                  </w:divsChild>
                </w:div>
                <w:div w:id="1622147542">
                  <w:marLeft w:val="0"/>
                  <w:marRight w:val="0"/>
                  <w:marTop w:val="0"/>
                  <w:marBottom w:val="0"/>
                  <w:divBdr>
                    <w:top w:val="none" w:sz="0" w:space="0" w:color="auto"/>
                    <w:left w:val="none" w:sz="0" w:space="0" w:color="auto"/>
                    <w:bottom w:val="none" w:sz="0" w:space="0" w:color="auto"/>
                    <w:right w:val="none" w:sz="0" w:space="0" w:color="auto"/>
                  </w:divBdr>
                  <w:divsChild>
                    <w:div w:id="18110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00612">
      <w:bodyDiv w:val="1"/>
      <w:marLeft w:val="0"/>
      <w:marRight w:val="0"/>
      <w:marTop w:val="0"/>
      <w:marBottom w:val="0"/>
      <w:divBdr>
        <w:top w:val="none" w:sz="0" w:space="0" w:color="auto"/>
        <w:left w:val="none" w:sz="0" w:space="0" w:color="auto"/>
        <w:bottom w:val="none" w:sz="0" w:space="0" w:color="auto"/>
        <w:right w:val="none" w:sz="0" w:space="0" w:color="auto"/>
      </w:divBdr>
      <w:divsChild>
        <w:div w:id="376976718">
          <w:marLeft w:val="0"/>
          <w:marRight w:val="0"/>
          <w:marTop w:val="0"/>
          <w:marBottom w:val="0"/>
          <w:divBdr>
            <w:top w:val="none" w:sz="0" w:space="0" w:color="auto"/>
            <w:left w:val="none" w:sz="0" w:space="0" w:color="auto"/>
            <w:bottom w:val="none" w:sz="0" w:space="0" w:color="auto"/>
            <w:right w:val="none" w:sz="0" w:space="0" w:color="auto"/>
          </w:divBdr>
          <w:divsChild>
            <w:div w:id="1366322768">
              <w:marLeft w:val="0"/>
              <w:marRight w:val="0"/>
              <w:marTop w:val="0"/>
              <w:marBottom w:val="0"/>
              <w:divBdr>
                <w:top w:val="none" w:sz="0" w:space="0" w:color="auto"/>
                <w:left w:val="none" w:sz="0" w:space="0" w:color="auto"/>
                <w:bottom w:val="none" w:sz="0" w:space="0" w:color="auto"/>
                <w:right w:val="none" w:sz="0" w:space="0" w:color="auto"/>
              </w:divBdr>
              <w:divsChild>
                <w:div w:id="919287277">
                  <w:marLeft w:val="0"/>
                  <w:marRight w:val="0"/>
                  <w:marTop w:val="0"/>
                  <w:marBottom w:val="0"/>
                  <w:divBdr>
                    <w:top w:val="none" w:sz="0" w:space="0" w:color="auto"/>
                    <w:left w:val="none" w:sz="0" w:space="0" w:color="auto"/>
                    <w:bottom w:val="none" w:sz="0" w:space="0" w:color="auto"/>
                    <w:right w:val="none" w:sz="0" w:space="0" w:color="auto"/>
                  </w:divBdr>
                  <w:divsChild>
                    <w:div w:id="822038752">
                      <w:marLeft w:val="0"/>
                      <w:marRight w:val="0"/>
                      <w:marTop w:val="0"/>
                      <w:marBottom w:val="0"/>
                      <w:divBdr>
                        <w:top w:val="none" w:sz="0" w:space="0" w:color="auto"/>
                        <w:left w:val="none" w:sz="0" w:space="0" w:color="auto"/>
                        <w:bottom w:val="none" w:sz="0" w:space="0" w:color="auto"/>
                        <w:right w:val="none" w:sz="0" w:space="0" w:color="auto"/>
                      </w:divBdr>
                    </w:div>
                  </w:divsChild>
                </w:div>
                <w:div w:id="1777286964">
                  <w:marLeft w:val="0"/>
                  <w:marRight w:val="0"/>
                  <w:marTop w:val="0"/>
                  <w:marBottom w:val="0"/>
                  <w:divBdr>
                    <w:top w:val="none" w:sz="0" w:space="0" w:color="auto"/>
                    <w:left w:val="none" w:sz="0" w:space="0" w:color="auto"/>
                    <w:bottom w:val="none" w:sz="0" w:space="0" w:color="auto"/>
                    <w:right w:val="none" w:sz="0" w:space="0" w:color="auto"/>
                  </w:divBdr>
                  <w:divsChild>
                    <w:div w:id="1357267368">
                      <w:marLeft w:val="0"/>
                      <w:marRight w:val="0"/>
                      <w:marTop w:val="0"/>
                      <w:marBottom w:val="0"/>
                      <w:divBdr>
                        <w:top w:val="none" w:sz="0" w:space="0" w:color="auto"/>
                        <w:left w:val="none" w:sz="0" w:space="0" w:color="auto"/>
                        <w:bottom w:val="none" w:sz="0" w:space="0" w:color="auto"/>
                        <w:right w:val="none" w:sz="0" w:space="0" w:color="auto"/>
                      </w:divBdr>
                    </w:div>
                  </w:divsChild>
                </w:div>
                <w:div w:id="1472096582">
                  <w:marLeft w:val="0"/>
                  <w:marRight w:val="0"/>
                  <w:marTop w:val="0"/>
                  <w:marBottom w:val="0"/>
                  <w:divBdr>
                    <w:top w:val="none" w:sz="0" w:space="0" w:color="auto"/>
                    <w:left w:val="none" w:sz="0" w:space="0" w:color="auto"/>
                    <w:bottom w:val="none" w:sz="0" w:space="0" w:color="auto"/>
                    <w:right w:val="none" w:sz="0" w:space="0" w:color="auto"/>
                  </w:divBdr>
                  <w:divsChild>
                    <w:div w:id="1363557496">
                      <w:marLeft w:val="0"/>
                      <w:marRight w:val="0"/>
                      <w:marTop w:val="0"/>
                      <w:marBottom w:val="0"/>
                      <w:divBdr>
                        <w:top w:val="none" w:sz="0" w:space="0" w:color="auto"/>
                        <w:left w:val="none" w:sz="0" w:space="0" w:color="auto"/>
                        <w:bottom w:val="none" w:sz="0" w:space="0" w:color="auto"/>
                        <w:right w:val="none" w:sz="0" w:space="0" w:color="auto"/>
                      </w:divBdr>
                    </w:div>
                  </w:divsChild>
                </w:div>
                <w:div w:id="2017880280">
                  <w:marLeft w:val="0"/>
                  <w:marRight w:val="0"/>
                  <w:marTop w:val="0"/>
                  <w:marBottom w:val="0"/>
                  <w:divBdr>
                    <w:top w:val="none" w:sz="0" w:space="0" w:color="auto"/>
                    <w:left w:val="none" w:sz="0" w:space="0" w:color="auto"/>
                    <w:bottom w:val="none" w:sz="0" w:space="0" w:color="auto"/>
                    <w:right w:val="none" w:sz="0" w:space="0" w:color="auto"/>
                  </w:divBdr>
                  <w:divsChild>
                    <w:div w:id="1110199201">
                      <w:marLeft w:val="0"/>
                      <w:marRight w:val="0"/>
                      <w:marTop w:val="0"/>
                      <w:marBottom w:val="0"/>
                      <w:divBdr>
                        <w:top w:val="none" w:sz="0" w:space="0" w:color="auto"/>
                        <w:left w:val="none" w:sz="0" w:space="0" w:color="auto"/>
                        <w:bottom w:val="none" w:sz="0" w:space="0" w:color="auto"/>
                        <w:right w:val="none" w:sz="0" w:space="0" w:color="auto"/>
                      </w:divBdr>
                    </w:div>
                  </w:divsChild>
                </w:div>
                <w:div w:id="944464901">
                  <w:marLeft w:val="0"/>
                  <w:marRight w:val="0"/>
                  <w:marTop w:val="0"/>
                  <w:marBottom w:val="0"/>
                  <w:divBdr>
                    <w:top w:val="none" w:sz="0" w:space="0" w:color="auto"/>
                    <w:left w:val="none" w:sz="0" w:space="0" w:color="auto"/>
                    <w:bottom w:val="none" w:sz="0" w:space="0" w:color="auto"/>
                    <w:right w:val="none" w:sz="0" w:space="0" w:color="auto"/>
                  </w:divBdr>
                  <w:divsChild>
                    <w:div w:id="1439830923">
                      <w:marLeft w:val="0"/>
                      <w:marRight w:val="0"/>
                      <w:marTop w:val="0"/>
                      <w:marBottom w:val="0"/>
                      <w:divBdr>
                        <w:top w:val="none" w:sz="0" w:space="0" w:color="auto"/>
                        <w:left w:val="none" w:sz="0" w:space="0" w:color="auto"/>
                        <w:bottom w:val="none" w:sz="0" w:space="0" w:color="auto"/>
                        <w:right w:val="none" w:sz="0" w:space="0" w:color="auto"/>
                      </w:divBdr>
                    </w:div>
                  </w:divsChild>
                </w:div>
                <w:div w:id="616065755">
                  <w:marLeft w:val="0"/>
                  <w:marRight w:val="0"/>
                  <w:marTop w:val="0"/>
                  <w:marBottom w:val="0"/>
                  <w:divBdr>
                    <w:top w:val="none" w:sz="0" w:space="0" w:color="auto"/>
                    <w:left w:val="none" w:sz="0" w:space="0" w:color="auto"/>
                    <w:bottom w:val="none" w:sz="0" w:space="0" w:color="auto"/>
                    <w:right w:val="none" w:sz="0" w:space="0" w:color="auto"/>
                  </w:divBdr>
                  <w:divsChild>
                    <w:div w:id="702294577">
                      <w:marLeft w:val="0"/>
                      <w:marRight w:val="0"/>
                      <w:marTop w:val="0"/>
                      <w:marBottom w:val="0"/>
                      <w:divBdr>
                        <w:top w:val="none" w:sz="0" w:space="0" w:color="auto"/>
                        <w:left w:val="none" w:sz="0" w:space="0" w:color="auto"/>
                        <w:bottom w:val="none" w:sz="0" w:space="0" w:color="auto"/>
                        <w:right w:val="none" w:sz="0" w:space="0" w:color="auto"/>
                      </w:divBdr>
                    </w:div>
                  </w:divsChild>
                </w:div>
                <w:div w:id="1686397825">
                  <w:marLeft w:val="0"/>
                  <w:marRight w:val="0"/>
                  <w:marTop w:val="0"/>
                  <w:marBottom w:val="0"/>
                  <w:divBdr>
                    <w:top w:val="none" w:sz="0" w:space="0" w:color="auto"/>
                    <w:left w:val="none" w:sz="0" w:space="0" w:color="auto"/>
                    <w:bottom w:val="none" w:sz="0" w:space="0" w:color="auto"/>
                    <w:right w:val="none" w:sz="0" w:space="0" w:color="auto"/>
                  </w:divBdr>
                  <w:divsChild>
                    <w:div w:id="2100632924">
                      <w:marLeft w:val="0"/>
                      <w:marRight w:val="0"/>
                      <w:marTop w:val="0"/>
                      <w:marBottom w:val="0"/>
                      <w:divBdr>
                        <w:top w:val="none" w:sz="0" w:space="0" w:color="auto"/>
                        <w:left w:val="none" w:sz="0" w:space="0" w:color="auto"/>
                        <w:bottom w:val="none" w:sz="0" w:space="0" w:color="auto"/>
                        <w:right w:val="none" w:sz="0" w:space="0" w:color="auto"/>
                      </w:divBdr>
                    </w:div>
                  </w:divsChild>
                </w:div>
                <w:div w:id="1999839508">
                  <w:marLeft w:val="0"/>
                  <w:marRight w:val="0"/>
                  <w:marTop w:val="0"/>
                  <w:marBottom w:val="0"/>
                  <w:divBdr>
                    <w:top w:val="none" w:sz="0" w:space="0" w:color="auto"/>
                    <w:left w:val="none" w:sz="0" w:space="0" w:color="auto"/>
                    <w:bottom w:val="none" w:sz="0" w:space="0" w:color="auto"/>
                    <w:right w:val="none" w:sz="0" w:space="0" w:color="auto"/>
                  </w:divBdr>
                  <w:divsChild>
                    <w:div w:id="1931231323">
                      <w:marLeft w:val="0"/>
                      <w:marRight w:val="0"/>
                      <w:marTop w:val="0"/>
                      <w:marBottom w:val="0"/>
                      <w:divBdr>
                        <w:top w:val="none" w:sz="0" w:space="0" w:color="auto"/>
                        <w:left w:val="none" w:sz="0" w:space="0" w:color="auto"/>
                        <w:bottom w:val="none" w:sz="0" w:space="0" w:color="auto"/>
                        <w:right w:val="none" w:sz="0" w:space="0" w:color="auto"/>
                      </w:divBdr>
                    </w:div>
                  </w:divsChild>
                </w:div>
                <w:div w:id="435755740">
                  <w:marLeft w:val="0"/>
                  <w:marRight w:val="0"/>
                  <w:marTop w:val="0"/>
                  <w:marBottom w:val="0"/>
                  <w:divBdr>
                    <w:top w:val="none" w:sz="0" w:space="0" w:color="auto"/>
                    <w:left w:val="none" w:sz="0" w:space="0" w:color="auto"/>
                    <w:bottom w:val="none" w:sz="0" w:space="0" w:color="auto"/>
                    <w:right w:val="none" w:sz="0" w:space="0" w:color="auto"/>
                  </w:divBdr>
                  <w:divsChild>
                    <w:div w:id="176508430">
                      <w:marLeft w:val="0"/>
                      <w:marRight w:val="0"/>
                      <w:marTop w:val="0"/>
                      <w:marBottom w:val="0"/>
                      <w:divBdr>
                        <w:top w:val="none" w:sz="0" w:space="0" w:color="auto"/>
                        <w:left w:val="none" w:sz="0" w:space="0" w:color="auto"/>
                        <w:bottom w:val="none" w:sz="0" w:space="0" w:color="auto"/>
                        <w:right w:val="none" w:sz="0" w:space="0" w:color="auto"/>
                      </w:divBdr>
                    </w:div>
                  </w:divsChild>
                </w:div>
                <w:div w:id="305823051">
                  <w:marLeft w:val="0"/>
                  <w:marRight w:val="0"/>
                  <w:marTop w:val="0"/>
                  <w:marBottom w:val="0"/>
                  <w:divBdr>
                    <w:top w:val="none" w:sz="0" w:space="0" w:color="auto"/>
                    <w:left w:val="none" w:sz="0" w:space="0" w:color="auto"/>
                    <w:bottom w:val="none" w:sz="0" w:space="0" w:color="auto"/>
                    <w:right w:val="none" w:sz="0" w:space="0" w:color="auto"/>
                  </w:divBdr>
                  <w:divsChild>
                    <w:div w:id="78449832">
                      <w:marLeft w:val="0"/>
                      <w:marRight w:val="0"/>
                      <w:marTop w:val="0"/>
                      <w:marBottom w:val="0"/>
                      <w:divBdr>
                        <w:top w:val="none" w:sz="0" w:space="0" w:color="auto"/>
                        <w:left w:val="none" w:sz="0" w:space="0" w:color="auto"/>
                        <w:bottom w:val="none" w:sz="0" w:space="0" w:color="auto"/>
                        <w:right w:val="none" w:sz="0" w:space="0" w:color="auto"/>
                      </w:divBdr>
                    </w:div>
                  </w:divsChild>
                </w:div>
                <w:div w:id="816603449">
                  <w:marLeft w:val="0"/>
                  <w:marRight w:val="0"/>
                  <w:marTop w:val="0"/>
                  <w:marBottom w:val="0"/>
                  <w:divBdr>
                    <w:top w:val="none" w:sz="0" w:space="0" w:color="auto"/>
                    <w:left w:val="none" w:sz="0" w:space="0" w:color="auto"/>
                    <w:bottom w:val="none" w:sz="0" w:space="0" w:color="auto"/>
                    <w:right w:val="none" w:sz="0" w:space="0" w:color="auto"/>
                  </w:divBdr>
                  <w:divsChild>
                    <w:div w:id="1497723493">
                      <w:marLeft w:val="0"/>
                      <w:marRight w:val="0"/>
                      <w:marTop w:val="0"/>
                      <w:marBottom w:val="0"/>
                      <w:divBdr>
                        <w:top w:val="none" w:sz="0" w:space="0" w:color="auto"/>
                        <w:left w:val="none" w:sz="0" w:space="0" w:color="auto"/>
                        <w:bottom w:val="none" w:sz="0" w:space="0" w:color="auto"/>
                        <w:right w:val="none" w:sz="0" w:space="0" w:color="auto"/>
                      </w:divBdr>
                    </w:div>
                  </w:divsChild>
                </w:div>
                <w:div w:id="813571960">
                  <w:marLeft w:val="0"/>
                  <w:marRight w:val="0"/>
                  <w:marTop w:val="0"/>
                  <w:marBottom w:val="0"/>
                  <w:divBdr>
                    <w:top w:val="none" w:sz="0" w:space="0" w:color="auto"/>
                    <w:left w:val="none" w:sz="0" w:space="0" w:color="auto"/>
                    <w:bottom w:val="none" w:sz="0" w:space="0" w:color="auto"/>
                    <w:right w:val="none" w:sz="0" w:space="0" w:color="auto"/>
                  </w:divBdr>
                  <w:divsChild>
                    <w:div w:id="1918976166">
                      <w:marLeft w:val="0"/>
                      <w:marRight w:val="0"/>
                      <w:marTop w:val="0"/>
                      <w:marBottom w:val="0"/>
                      <w:divBdr>
                        <w:top w:val="none" w:sz="0" w:space="0" w:color="auto"/>
                        <w:left w:val="none" w:sz="0" w:space="0" w:color="auto"/>
                        <w:bottom w:val="none" w:sz="0" w:space="0" w:color="auto"/>
                        <w:right w:val="none" w:sz="0" w:space="0" w:color="auto"/>
                      </w:divBdr>
                    </w:div>
                  </w:divsChild>
                </w:div>
                <w:div w:id="1343118438">
                  <w:marLeft w:val="0"/>
                  <w:marRight w:val="0"/>
                  <w:marTop w:val="0"/>
                  <w:marBottom w:val="0"/>
                  <w:divBdr>
                    <w:top w:val="none" w:sz="0" w:space="0" w:color="auto"/>
                    <w:left w:val="none" w:sz="0" w:space="0" w:color="auto"/>
                    <w:bottom w:val="none" w:sz="0" w:space="0" w:color="auto"/>
                    <w:right w:val="none" w:sz="0" w:space="0" w:color="auto"/>
                  </w:divBdr>
                  <w:divsChild>
                    <w:div w:id="12319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4236/ojapps.2024.148128"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7CD62-510A-41C7-B861-80C308A6B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20</Pages>
  <Words>4361</Words>
  <Characters>24858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JIMMY</cp:lastModifiedBy>
  <cp:revision>7</cp:revision>
  <dcterms:created xsi:type="dcterms:W3CDTF">2025-11-04T08:37:00Z</dcterms:created>
  <dcterms:modified xsi:type="dcterms:W3CDTF">2025-11-04T10:27:00Z</dcterms:modified>
  <cp:category/>
</cp:coreProperties>
</file>