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Microsoft JhengHei" w:hAnsi="Arial"/>
          <w:b/>
          <w:bCs/>
          <w:sz w:val="30"/>
          <w:szCs w:val="30"/>
        </w:rPr>
        <w:t xml:space="preserve">複審報告：JPC 研究架構與 Measurement Architecture v1.2 候選（calibration/v1.1-variable-model @ 4587c52）</w:t>
      </w:r>
    </w:p>
    <w:p>
      <w:pPr>
        <w:spacing w:after="120"/>
      </w:pPr>
      <w:r>
        <w:rPr>
          <w:rFonts w:ascii="Arial" w:cs="Arial" w:eastAsia="Microsoft JhengHei" w:hAnsi="Arial"/>
          <w:sz w:val="20"/>
          <w:szCs w:val="20"/>
        </w:rPr>
        <w:t xml:space="preserve">審查基準：HEAD 4587c523e9d100e3bc1fbb5b974e34a6e37ba70b，對照上一輪的 e9137d4。新增或修改的檔案為 21、22、23、24、README_CALIBRATION_CANDIDATE，以及標註 SUPERSEDED 的 15、16、18、20，與重寫的 17、19。04、05 自 e9137d4 起未改動。審查日期：2026-10-09。未修改 GitHub。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本輪重跑</w:t>
      </w:r>
      <w:r>
        <w:rPr>
          <w:rFonts w:ascii="Arial" w:cs="Arial" w:eastAsia="Microsoft JhengHei" w:hAnsi="Arial"/>
          <w:sz w:val="20"/>
          <w:szCs w:val="20"/>
        </w:rPr>
        <w:t xml:space="preserve">：兩支原始診斷腳本在 4587c52 上重跑，結果與上一輪相同。保序重編碼方面，κ {1,2,4} 為 6/9、κ {1,2.5,3} 為 0/9、等級凹型為 6/9、等級凸型為 3/9。階層方面，兩層（L2 直接選 q）與三層 9/9 相同；在 B=7，單層聯合規劃的 F1 比三層解分別高 0.387600、0.422471、0.172750。以上都只是 v1.0 SIMULATED toy 的結果。23 號檔「6/9、9/9、.17–.42 為轉述、非本輪重跑」的說法因此已可更新為「已由審查者以原腳本重跑」；腳本的雜湊值列於第 5 節。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原始審查文件</w:t>
      </w:r>
      <w:r>
        <w:rPr>
          <w:rFonts w:ascii="Arial" w:cs="Arial" w:eastAsia="Microsoft JhengHei" w:hAnsi="Arial"/>
          <w:sz w:val="20"/>
          <w:szCs w:val="20"/>
        </w:rPr>
        <w:t xml:space="preserve">：上一輪的完整 A–J 報告與兩支腳本已隨本報告一併提供。原始修正清單是 </w:t>
      </w:r>
      <w:r>
        <w:rPr>
          <w:rFonts w:ascii="Arial" w:cs="Arial" w:eastAsia="Microsoft JhengHei" w:hAnsi="Arial"/>
          <w:b/>
          <w:bCs/>
          <w:sz w:val="20"/>
          <w:szCs w:val="20"/>
        </w:rPr>
        <w:t xml:space="preserve">R1–R14</w:t>
      </w:r>
      <w:r>
        <w:rPr>
          <w:rFonts w:ascii="Arial" w:cs="Arial" w:eastAsia="Microsoft JhengHei" w:hAnsi="Arial"/>
          <w:sz w:val="20"/>
          <w:szCs w:val="20"/>
        </w:rPr>
        <w:t xml:space="preserve">，不是 R1–R12；第 2 節逐項對照原編號與原內容。</w:t>
      </w:r>
    </w:p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0. 總判定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仍不可凍結；文件的誠實度大幅改善。</w:t>
      </w:r>
      <w:r>
        <w:rPr>
          <w:rFonts w:ascii="Arial" w:cs="Arial" w:eastAsia="Microsoft JhengHei" w:hAnsi="Arial"/>
          <w:sz w:val="20"/>
          <w:szCs w:val="20"/>
        </w:rPr>
        <w:t xml:space="preserve"> 21–23 正確撤回了 v1.1 的 PASS、STRONG PASS 與「不需改方程」等主張，並把 Gap、M5、G04、外部效度、全漢與兆豐的位置寫對了。但三個致命問題中，F1 仍停留在承諾，F2、F3 有了可行的方向，卻仍缺關鍵的設計細節。此外，原 R4（G→M 指派規則）、R6（anchors 重寫）與 R11（研究倫理）在 21–23 中都沒有被處理。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9798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問題（24 號檔）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判定</w:t>
            </w:r>
          </w:p>
        </w:tc>
        <w:tc>
          <w:tcPr>
            <w:tcW w:type="dxa" w:w="9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一句話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1. F1 序位／κ 當基數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9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 §5 與 22 §D 列出每個作用點的處理方向，但沒有任何改寫後的方程、計價單位或 z_X 數值；修正仍只是承諾。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2. F2 三層是否成立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MAJOR CORRECTION</w:t>
            </w:r>
          </w:p>
        </w:tc>
        <w:tc>
          <w:tcPr>
            <w:tcW w:type="dxa" w:w="9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結構上已可能形成真正的分散決策，但目標函數未定義，C8 讓 Junior 依「已知 AI 對錯」作答（全知問題），而且缺少「目標不一致」的檢驗。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3. F3 門檻識別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MAJOR CORRECTION</w:t>
            </w:r>
          </w:p>
        </w:tc>
        <w:tc>
          <w:tcPr>
            <w:tcW w:type="dxa" w:w="9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C4–C6a 已以 A 為條件，C6a 與 C6b 也分得乾淨；但「每卡變動兩個因素、每人只答一個區塊」的設計會使效果混淆，而且沒有設計矩陣。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4. 文獻、M5、G04、Gap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PASS（附小修）</w:t>
            </w:r>
          </w:p>
        </w:tc>
        <w:tc>
          <w:tcPr>
            <w:tcW w:type="dxa" w:w="9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 §7 的文獻用法大致落在來源範圍內；Vaccaro 一句措辭過強。M5、G04、Gap 的定義正確。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5. 研究本體一致性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MAJOR CORRECTION</w:t>
            </w:r>
          </w:p>
        </w:tc>
        <w:tc>
          <w:tcPr>
            <w:tcW w:type="dxa" w:w="9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缺少「G 格 → M 機制 → 組織介面 → 題目 → 模型項」的追溯表；倫理與同意未處理；研究問題中的「結果」措辭超出單一個案的支持範圍。全漢與兆豐的定位正確。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1. 逐題審查</w:t>
      </w:r>
    </w:p>
    <w:p>
      <w:pPr>
        <w:pStyle w:val="Heading2"/>
        <w:spacing w:after="80" w:before="160"/>
      </w:pPr>
      <w:r>
        <w:rPr>
          <w:rFonts w:ascii="Arial" w:cs="Arial" w:eastAsia="Microsoft JhengHei" w:hAnsi="Arial"/>
          <w:b/>
          <w:bCs/>
          <w:sz w:val="22"/>
          <w:szCs w:val="22"/>
        </w:rPr>
        <w:t xml:space="preserve">問題 1｜F1：FAIL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  <w:gridCol w:w="599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檢查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發現（檔名／段落）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最小修正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21–22 是否仍有把序位當基數的方程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21–22 本身沒有新的基數方程。21 §3 的 Gap 只用 1[X_obs&lt;Req]；22 C2 明言 κ 不當倍數；22 §D 對 v1.0 的每一項都標出問題。但 v1.0 方程（01 號檔）仍是唯一可執行的版本，候選版沒有方程。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新增一份 v1.2 候選方程檔：每個目標項寫成 V(context, action, outcome; θ)，標示單位、資料來源與區間；即使沒有資料，也要先以符號定義到可實作的程度。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查表或 z_X 是否有單位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沒有。21 §5 只說「效用／成本／損失查表」，22 §D 說「工時／金額／規範化成本」，但沒有選定共同計價單位（numeraire）。F_B、F_M、U_J 三個目標之間的換算也沒有定義。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選定一個計價單位（例如：每決策事件的工時，或貨幣），並寫明 F_B、F_M、U_J 各自如何換到同一單位；做不到的項目只能出現在限制式或情境表中，不得進入目標函數。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識別方法與作用點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22 §D 要求「列原始符號、轉換後符號、單位、來源與敏感度」，這是正確的格式，但沒有任何一列已填。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對 κ、H、EA、WI 各填一列（即使只是區間），作為可審查的樣板。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保序重編碼規則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22 §D 列出線性、凹型、凸型與 κ {1,2,4}。這是有限的幾種代表，「合理編碼」的範圍沒有定義；「若推薦解變動就標 FRAGILE、不可凍結」則把一個研究發現誤當成凍結條件。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把重編碼族定義為「受訪者引出區間內的所有保序映射」，或至少一組明確的端點組合。FRAGILE 應以單一決策為單位分類，並如實報告；只要分類方法凍結即可，不必等到所有決策都 robust。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對 6/9 的修正是否只是承諾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是。23 號檔自己也標「未通過」，與本審查一致。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完成上面三列，並以 v1.2 候選方程（可先用佔位區間）重跑 ordinal_invariance.py 的同類檢查。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Microsoft JhengHei" w:hAnsi="Arial"/>
          <w:b/>
          <w:bCs/>
          <w:sz w:val="22"/>
          <w:szCs w:val="22"/>
        </w:rPr>
        <w:t xml:space="preserve">問題 2｜F2：MAJOR CORRECTION</w:t>
      </w:r>
    </w:p>
    <w:p>
      <w:pPr>
        <w:spacing w:after="120"/>
      </w:pPr>
      <w:r>
        <w:rPr>
          <w:rFonts w:ascii="Arial" w:cs="Arial" w:eastAsia="Microsoft JhengHei" w:hAnsi="Arial"/>
          <w:sz w:val="20"/>
          <w:szCs w:val="20"/>
        </w:rPr>
        <w:t xml:space="preserve">21 §4 把 q（configuration）移到 Manager 層，並把 Junior 的反應 r（查核、接受、覆核、升級、拒用）設為下層。這和上一輪的發現一致（q 本來就屬於 L2）。結構上，這個安排有可能構成真正的分散決策，但目前不足以成立。以下是四個反例，說明在什麼條件下它仍會塌縮：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  <w:gridCol w:w="5598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反例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條件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後果</w:t>
            </w:r>
          </w:p>
        </w:tc>
        <w:tc>
          <w:tcPr>
            <w:tcW w:type="dxa" w:w="5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要觀察或定義的東西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(a) 目標一致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U_J 與 F_M 對 r 的排序相同（例如兩者都是「品質 − 努力」，只差正比例常數）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對每個 x，argmax_r U_J = argmax_r F_M，Junior 層再次成為構造性分解</w:t>
            </w:r>
          </w:p>
        </w:tc>
        <w:tc>
          <w:tcPr>
            <w:tcW w:type="dxa" w:w="5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以不同來源分別引出 Junior 與 Manager 對「查核努力 vs 錯誤風險」的取捨，並證明至少一個情境中兩者的 argmax 不同。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(b) 沒有裁量權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R(b,x,s) 只有一個元素（政策強制審查，而且確實遵守）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下層是常數，模型實為 Boss–Manager 雙層</w:t>
            </w:r>
          </w:p>
        </w:tc>
        <w:tc>
          <w:tcPr>
            <w:tcW w:type="dxa" w:w="5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C1／C8 需取得至少一個有後果、且出於 Junior 自主的偏離例子（跳過查核、拒用、私下覆核）。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(c) 全知回答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C8 給出「AI 建議正確」與「AI 建議錯誤」兩張卡，Junior 依已知的對錯作答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Junior 在現實中觀察不到真值；這會得到全知的反應，等同 v0.7 已揭露的完美資訊問題，並高估查核的效益</w:t>
            </w:r>
          </w:p>
        </w:tc>
        <w:tc>
          <w:tcPr>
            <w:tcW w:type="dxa" w:w="5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改為 Junior 看得到的訊號（AI 信心、是否附解釋、與自身判斷是否一致、時間壓力），錯誤率另以情境給定；效用以期望值計算。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(d) 代表性 Junior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不同 Junior 的反應異質（三種前線角色）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單一 argmax 不代表群體，Manager 預期的是反應分布</w:t>
            </w:r>
          </w:p>
        </w:tc>
        <w:tc>
          <w:tcPr>
            <w:tcW w:type="dxa" w:w="5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把下層改為引出的反應分布 ρ(r | x, signal)（行為性 follower），或明確假設一個代表性 Junior 並做敏感度分析。</w:t>
            </w:r>
          </w:p>
        </w:tc>
      </w:tr>
    </w:tbl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最低限度的權限與行為觀察</w:t>
      </w:r>
      <w:r>
        <w:rPr>
          <w:rFonts w:ascii="Arial" w:cs="Arial" w:eastAsia="Microsoft JhengHei" w:hAnsi="Arial"/>
          <w:sz w:val="20"/>
          <w:szCs w:val="20"/>
        </w:rPr>
        <w:t xml:space="preserve">：(1) 三層各自的正式決策權（誰核准資源、誰設計流程與配置、誰能覆核或拒用），以文件或兩位以上受訪者互證；(2) 至少一個 Junior 自主偏離 Manager 設計的實例；(3) Manager 預期 Junior 行為的證據（例如因為有人跳過查核才設強制檢查點）；(4) 分別引出的目標取捨，並證明三者至少兩兩不同。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必報對照</w:t>
      </w:r>
      <w:r>
        <w:rPr>
          <w:rFonts w:ascii="Arial" w:cs="Arial" w:eastAsia="Microsoft JhengHei" w:hAnsi="Arial"/>
          <w:sz w:val="20"/>
          <w:szCs w:val="20"/>
        </w:rPr>
        <w:t xml:space="preserve">：在同一組情境與參數下，報告 (i) 單一規劃者，同時選 b、x 與 r 的規則；(ii) Boss–Manager 雙層，r 固定為政策遵循；(iii) 候選三層。要報告三者的可行集合、最適解、Junior 的最適反應，以及兩種層級成本（集中解減雙層解、雙層解減三層解）。若在所有情境下 (ii) 與 (iii) 相同，就把模型降級稱為「雙層，內嵌行為反應函數」。若連 (i) 與 (ii) 也相同，就稱為單一決策者模型。我目前建議的預設表述正是「Boss–Manager 雙層 ＋ Junior 行為反應 ρ」：它不需要宣稱 Junior 在最佳化，卻能保留反應對設計的影響；Dietvorst et al. (2015) 與 Logg et al. (2019) 已在 V5 論文的參考文獻中，可作為依賴與拒用行為的建模依據。</w:t>
      </w:r>
    </w:p>
    <w:p>
      <w:pPr>
        <w:pStyle w:val="Heading2"/>
        <w:spacing w:after="80" w:before="160"/>
      </w:pPr>
      <w:r>
        <w:rPr>
          <w:rFonts w:ascii="Arial" w:cs="Arial" w:eastAsia="Microsoft JhengHei" w:hAnsi="Arial"/>
          <w:b/>
          <w:bCs/>
          <w:sz w:val="22"/>
          <w:szCs w:val="22"/>
        </w:rPr>
        <w:t xml:space="preserve">問題 3｜F3：MAJOR CORRECTION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800"/>
        <w:gridCol w:w="539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可否識別（現行 22 §B）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理由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最小修正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 主效應（同一模板內）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可以（條件式）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C4–C6a 已以 A 為條件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每位受訪者對同一模板依 A=1→3 作答一條單調路徑（見下）。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κ 主效應（同一模板內）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可以（條件式）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C2 與卡面固定 κ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同上，對每個 κ 各作答一條 A 路徑。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A×κ（同一模板內）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只能描述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每格最多 1–2 位合格受訪者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只報格值與分歧；不得擬合交互作用參數。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任務 t 或用途 u 的效果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不可識別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t 與 u 綁在模板內容（決策本身）上，和模板身分完全混淆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只能做跨模板的描述性比較；不得在 RQ3 中宣稱任務效果。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執行權 e 的效果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不可識別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只在 A=3 時影響 WI_req，而且同樣與模板混淆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同上。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任何三因素以上的交互作用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不可識別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受訪者約 7 人（有門檻判斷權者）× 4–6 個模板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不估計。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「每卡變動至少兩個因素」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混淆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相對於基準卡同時改兩個因素，兩者的效果會互相混淆（alias），除非採用有已知混淆結構的部分因子設計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改為一次只變一個因素，或附上部分因子設計的混淆結構表。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「每人只答一個區塊」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受訪者效果與區塊混淆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受訪者之間的差異無法和區塊之間的差異分開；共同基準卡只能部分校正</w:t>
            </w:r>
          </w:p>
        </w:tc>
        <w:tc>
          <w:tcPr>
            <w:tcW w:type="dxa" w:w="5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改為受訪者內設計：每人至少 2 個模板，每個模板都有完整的 A×κ 路徑。</w:t>
            </w:r>
          </w:p>
        </w:tc>
      </w:tr>
    </w:tbl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可行的低負擔設計</w:t>
      </w:r>
      <w:r>
        <w:rPr>
          <w:rFonts w:ascii="Arial" w:cs="Arial" w:eastAsia="Microsoft JhengHei" w:hAnsi="Arial"/>
          <w:sz w:val="20"/>
          <w:szCs w:val="20"/>
        </w:rPr>
        <w:t xml:space="preserve">：門檻函數單調是一個假設，需明示，並以 2 張探針卡檢查。在此假設下，每位合格受訪者對每個模板、每個構念（H、EA、WI）、每個 κ 等級，只問一題：「A 從 1 到 3，最低 H 等級在哪裡跳級？」這一題就記錄到 H_req 在 A=1、2、3 的三個值。每個模板因此是 3 構念 × 3 κ = 9 題，2 個模板共 18 題；再加上 2 張重複卡與 2 張單調性探針，總計約 22 題，大約 25 分鐘。這個設計能識別同一模板內 A 與 κ 的效應，以及角色之間的分歧（每個模板每種角色至少 2 人時）；不能識別任務、用途、執行權的效果與其交互作用。卡數須以試測結果決定，22 §B 也已如此要求。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C6a／C6b</w:t>
      </w:r>
      <w:r>
        <w:rPr>
          <w:rFonts w:ascii="Arial" w:cs="Arial" w:eastAsia="Microsoft JhengHei" w:hAnsi="Arial"/>
          <w:sz w:val="20"/>
          <w:szCs w:val="20"/>
        </w:rPr>
        <w:t xml:space="preserve">：兩者已乾淨分開。C6a 問安全執行與例外處理，並明示「即使沒有經濟效益也請回答」；C6b 問抵銷成本的價值點，並允許回答「不知道」。剩下的風險是錨定效應：C6b 緊接在 C6a 之後問，容易被拉向 C6b ≥ C6a。建議隨機化兩題的順序或分開施測，並允許 C6b &lt; C6a 的回答（表示即使有價值也不安全）。</w:t>
      </w:r>
    </w:p>
    <w:p>
      <w:pPr>
        <w:pStyle w:val="Heading2"/>
        <w:spacing w:after="80" w:before="160"/>
      </w:pPr>
      <w:r>
        <w:rPr>
          <w:rFonts w:ascii="Arial" w:cs="Arial" w:eastAsia="Microsoft JhengHei" w:hAnsi="Arial"/>
          <w:b/>
          <w:bCs/>
          <w:sz w:val="22"/>
          <w:szCs w:val="22"/>
        </w:rPr>
        <w:t xml:space="preserve">問題 4｜文獻、M5、G04、Gap：PASS（附小修）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4400"/>
        <w:gridCol w:w="339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來源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核對層級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21 §7 的用法</w:t>
            </w:r>
          </w:p>
        </w:tc>
        <w:tc>
          <w:tcPr>
            <w:tcW w:type="dxa" w:w="3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Raisch &amp; Krakowski 2021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ABSTRACT ONLY（摘要即含核心主張；開放取用的出版版本存在，本輪未逐頁讀）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相互依賴，不能宣稱完全分離</w:t>
            </w:r>
          </w:p>
        </w:tc>
        <w:tc>
          <w:tcPr>
            <w:tcW w:type="dxa" w:w="3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Elish 2019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ABSTRACT ONLY（期刊開放全文存在）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控制與責任錯配</w:t>
            </w:r>
          </w:p>
        </w:tc>
        <w:tc>
          <w:tcPr>
            <w:tcW w:type="dxa" w:w="3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Bansal et al. 2021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ABSTRACT ONLY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解釋未必改善人機決策</w:t>
            </w:r>
          </w:p>
        </w:tc>
        <w:tc>
          <w:tcPr>
            <w:tcW w:type="dxa" w:w="3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Vaccaro et al. 2024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ABSTRACT ONLY（PMC 有開放全文）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「任務類型、人機相對表現是不能省略的調節條件」</w:t>
            </w:r>
          </w:p>
        </w:tc>
        <w:tc>
          <w:tcPr>
            <w:tcW w:type="dxa" w:w="3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小修：改為「meta-analysis 中顯著的異質性來源（實驗研究）」；「不能省略」是研究者的設計判斷。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Shrestha et al. 2019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ABSTRACT ONLY；p.8 原句 UNVERIFIED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分類層級、順序與聚合；只用公開摘要</w:t>
            </w:r>
          </w:p>
        </w:tc>
        <w:tc>
          <w:tcPr>
            <w:tcW w:type="dxa" w:w="3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Jöhnk et al. 2021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SOURCE VERIFIED（部分正文：五類別的節標題與因素表列）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readiness 覆蓋檢查</w:t>
            </w:r>
          </w:p>
        </w:tc>
        <w:tc>
          <w:tcPr>
            <w:tcW w:type="dxa" w:w="3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Rudin 2019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ABSTRACT ONLY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 §5 改為「另記理解、查核、過度依賴，或移除作為 EA 的直接支持」</w:t>
            </w:r>
          </w:p>
        </w:tc>
        <w:tc>
          <w:tcPr>
            <w:tcW w:type="dxa" w:w="3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PASS（條件：EA-X 指標落實前不得引用為 EA 的支持）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Miller 2019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ABSTRACT ONLY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同上</w:t>
            </w:r>
          </w:p>
        </w:tc>
        <w:tc>
          <w:tcPr>
            <w:tcW w:type="dxa" w:w="3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PASS（同上條件）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Fortuny-Amat &amp; McCarl 1981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UNVERIFIED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保持 UNVERIFIED，不作模型有效性證據</w:t>
            </w:r>
          </w:p>
        </w:tc>
        <w:tc>
          <w:tcPr>
            <w:tcW w:type="dxa" w:w="3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M5／G04</w:t>
      </w:r>
      <w:r>
        <w:rPr>
          <w:rFonts w:ascii="Arial" w:cs="Arial" w:eastAsia="Microsoft JhengHei" w:hAnsi="Arial"/>
          <w:sz w:val="20"/>
          <w:szCs w:val="20"/>
        </w:rPr>
        <w:t xml:space="preserve">：V5 會議論文 §5.5 載明 production metadata 的 year 欄位全部缺失（專案檔原文已核）。21 §1 據此把 G04 定為 evidence-only、M5 定為動態擴充，PASS。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Gap</w:t>
      </w:r>
      <w:r>
        <w:rPr>
          <w:rFonts w:ascii="Arial" w:cs="Arial" w:eastAsia="Microsoft JhengHei" w:hAnsi="Arial"/>
          <w:sz w:val="20"/>
          <w:szCs w:val="20"/>
        </w:rPr>
        <w:t xml:space="preserve">：21 §3 的 Gap_X(i,s)=1[X_obs(i)&lt;Req_X(A_target,s)] 只用序位比較，明示 A_target=A_obs 或 A*，並說明以 A* 計算時是條件性反事實，PASS。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尚缺</w:t>
      </w:r>
      <w:r>
        <w:rPr>
          <w:rFonts w:ascii="Arial" w:cs="Arial" w:eastAsia="Microsoft JhengHei" w:hAnsi="Arial"/>
          <w:sz w:val="20"/>
          <w:szCs w:val="20"/>
        </w:rPr>
        <w:t xml:space="preserve">：三層 Boss–Manager–Junior 結構本身沒有方法學來源。Schneeweiss (2003) 對 constructional 與 organizational 分散決策的區分，以及 Bialas &amp; Karwan (1984) 以控制權分層定義多層規劃，都已在上一輪核對過，建議引用。前線裁量行為的組織文獻目前沒有 [CITATION NEEDED]。</w:t>
      </w:r>
    </w:p>
    <w:p>
      <w:pPr>
        <w:pStyle w:val="Heading2"/>
        <w:spacing w:after="80" w:before="160"/>
      </w:pPr>
      <w:r>
        <w:rPr>
          <w:rFonts w:ascii="Arial" w:cs="Arial" w:eastAsia="Microsoft JhengHei" w:hAnsi="Arial"/>
          <w:b/>
          <w:bCs/>
          <w:sz w:val="22"/>
          <w:szCs w:val="22"/>
        </w:rPr>
        <w:t xml:space="preserve">問題 5｜研究本體一致性：MAJOR CORRECTION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  <w:gridCol w:w="559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檢查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發現</w:t>
            </w:r>
          </w:p>
        </w:tc>
        <w:tc>
          <w:tcPr>
            <w:tcW w:type="dxa" w:w="5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最小修正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G01–G16 → M1–M4 是否仍有規則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21–23 沒有指派表。唯一的表在已標 SUPERSEDED 的 20 號檔，而且仍含 M5；G10 的歸屬（M3，或排除在 enterprise model 之外）也未決。</w:t>
            </w:r>
          </w:p>
        </w:tc>
        <w:tc>
          <w:tcPr>
            <w:tcW w:type="dxa" w:w="5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在 21 新增指派表，附指派規則；由至少 2 位獨立編碼者指派並報告一致性。或刪除 M 層，回到 v1.0 的逐格 role（即原 R4）。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研究本體是否同一條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 §1 的敘事鏈正確（文獻低連結 → 研究線索 → 個案介面 → 模型），但沒有一張表能把每個 M 追到 21 §3 的介面（Boss→Manager、Manager→Junior、治理→JPC、外部↔內部）、22 的題號（C1–C9）與模型項。</w:t>
            </w:r>
          </w:p>
        </w:tc>
        <w:tc>
          <w:tcPr>
            <w:tcW w:type="dxa" w:w="5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新增追溯表，欄位為：G 格 | M | 介面 | 題號 | 模型符號 | 識別狀態。任何 M 若沒有對應的題與模型項，就從研究問題中移除。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研究問題措辭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 §1：「這些落差如何改變可行配置和結果」。單一個案、無結果資料時，「結果」只能是模型情境下的結果。</w:t>
            </w:r>
          </w:p>
        </w:tc>
        <w:tc>
          <w:tcPr>
            <w:tcW w:type="dxa" w:w="5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改為「在情境模型中如何改變可行配置與模擬結果」。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全漢與兆豐的定位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 §2 與 22 §C 都要求以正式權限文件確認全漢的治理界面；兆豐只作外部挑戰者，不是模型玩家，PASS。論文因此沒有被轉成投資報告。</w:t>
            </w:r>
          </w:p>
        </w:tc>
        <w:tc>
          <w:tcPr>
            <w:tcW w:type="dxa" w:w="5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若兆豐或全漢與 JPC 有投資、董事或交易關係，於方法章揭露利益關係（本審查無法查證，UNVERIFIED）。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倫理與同意（原 R11）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21–23 沒有提到知情同意、公司授權、單一職位可識別性，或董事長在場可能造成的影響。</w:t>
            </w:r>
          </w:p>
        </w:tc>
        <w:tc>
          <w:tcPr>
            <w:tcW w:type="dxa" w:w="5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新增倫理段落：書面同意、公司授權、彙總與去識別化規則、訪談時董事長不在場、可隨時退出。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構念 anchors（原 R6）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22 沿用「H0–H3／E0–E3／W0–W3」，但 anchors 沒有重寫；A 未拆分；A_obs 與 Ā0 沒有分開；G、H、EA 的關鍵字重疊仍在；也沒有內容效度或 Q-sort 的計畫。</w:t>
            </w:r>
          </w:p>
        </w:tc>
        <w:tc>
          <w:tcPr>
            <w:tcW w:type="dxa" w:w="5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依原 F 節重寫 anchors，並把內容效度與 Q-sort 列為試測之前的步驟。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2. 原 R1–R14 逐項對照（原始編號與原內容）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2400"/>
        <w:gridCol w:w="5998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原編號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原內容（摘要）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v1.2 狀態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依據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定義 z_X／z_κ 或改為 ordinal-robust 形式；報告保序重編碼下的 robust／conditional／fragile；撤回 17 號檔「不改結構方程」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PARTIAL：撤回已完成；方程未改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17 已改；21 §5、22 §D 只有方向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改稱 bilevel 並合併 L2 與 L3；或保留 L3，但要有獨立的決策者、目標與資訊，並證明 argmax 不一致；調整標題與 RQ4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PARTIAL：結構重設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 §4；見問題 2 的四個反例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重寫 C4–C6：操弄 A、部分因子設計、WI 改問可行性、加入重複題；否則降為 use-case 查表並刪除 RQ3 的 κ／u／t 推論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PARTIAL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22 §B；混淆問題見問題 3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G→M 指派規則、codebook、2 位以上獨立編碼者；處理 G10 與 M5 的矛盾；或刪除 M 層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OPEN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21–23 沒有指派表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R5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改寫文獻：Raisch &amp; Krakowski、以 EA-X 處理 Rudin／Miller、依 Elish／Bansal 允許非單調風險、加入人機相對表現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DONE（文件層）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 §4、§5、§7；22 C5、C7、§D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R6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重寫 anchors、關鍵字專屬、拆分 A、分開 A_obs 與 Ā0、修正 double-barreled、內容效度與 Q-sort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OPEN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22 未重寫 anchors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R7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Gap 改為方向指標並指定 A；說明用途；需求與現況由不同受訪者提供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MOSTLY DONE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 §3 完成；「不同受訪者」只隱含在 22 §C 的角色表中，需明寫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R8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以屬性範圍做 swing weighting；E1／E2 準則對應 F1；刪除 +0.20·AIAdoptions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PARTIAL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採用獎勵已移除（22 §D）；目標權重的引出方法未定義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R9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重分類識別等級；定義 Θ；v_i 不得直接取營收比重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PARTIAL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17 撤回 STRONG PASS；22 §A 規定 v_i 與 Θ 要寫出規則，否則列為情境；逐參數的識別表未重做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R10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configuration 加上順序與最終決策權屬性；與 Shrestha 對照；補 aggregated；Allow 逐一引出；說明 one-hot 範圍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MOSTLY DONE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 §4、22 C3；one-hot 範圍未說明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R11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知情同意、公司授權、去識別化；避免董事長在場或指派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OPEN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未提及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R12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M5 移出 static；G04 evidence-only；刪除 T1 與 TP_t 的連結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 §1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R13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外部效度限縮為單一個案、情境界定、專家表面效度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 §6、22 §C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R14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處理 m1–m7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PARTIAL</w:t>
            </w:r>
          </w:p>
        </w:tc>
        <w:tc>
          <w:tcPr>
            <w:tcW w:type="dxa" w:w="5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m1（Fortuny-Amat、Shrestha 標 UNVERIFIED）完成；m2（tri-level 來源）、m3（Khatri &amp; Brown 領域轉用）、m6（Jöhnk 頁碼）、m7（RQ1 措辭）未處理；m4（Krippendorff α／試測）部分完成；m5 已隨 18 號檔 SUPERSEDED 而失效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3. 可凍結項目</w:t>
      </w:r>
    </w:p>
    <w:p>
      <w:pPr>
        <w:spacing w:after="120"/>
      </w:pPr>
      <w:r>
        <w:rPr>
          <w:rFonts w:ascii="Arial" w:cs="Arial" w:eastAsia="Microsoft JhengHei" w:hAnsi="Arial"/>
          <w:sz w:val="20"/>
          <w:szCs w:val="20"/>
        </w:rPr>
        <w:t xml:space="preserve">現在即可凍結：(1) 研究定位與主張界線（21 §1、§2 的邊界表、§6）；(2) 參數登記欄位（22 §E），建議再加 Decision_Level 與 Signal_Visible_To_Respondent 兩欄；(3) *_obs 與優化值分表；(4) Gap 方向指標的定義（21 §3）；(5) M5 為動態擴充、G04 為 evidence-only；(6) 全漢與兆豐的角色邊界。</w:t>
      </w:r>
    </w:p>
    <w:p>
      <w:pPr>
        <w:spacing w:after="120"/>
      </w:pPr>
      <w:r>
        <w:rPr>
          <w:rFonts w:ascii="Arial" w:cs="Arial" w:eastAsia="Microsoft JhengHei" w:hAnsi="Arial"/>
          <w:sz w:val="20"/>
          <w:szCs w:val="20"/>
        </w:rPr>
        <w:t xml:space="preserve">不可凍結：目標函數與尺度轉換（F1）、層級結構（F2）、門檻的引出設計（F3）、構念 anchors（R6）、G→M 指派（R4），以及倫理程序（R11）。</w:t>
      </w:r>
    </w:p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4. 解除凍結所需證據（分四類）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998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類別</w:t>
            </w:r>
          </w:p>
        </w:tc>
        <w:tc>
          <w:tcPr>
            <w:tcW w:type="dxa" w:w="12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必要項目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文件修正</w:t>
            </w:r>
          </w:p>
        </w:tc>
        <w:tc>
          <w:tcPr>
            <w:tcW w:type="dxa" w:w="12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G→M 指派表、規則與追溯表（G 格→M→介面→題號→模型符號→識別狀態）；anchors 重寫；倫理段落；研究問題中「結果」的措辭；Vaccaro 的措辭；為三層結構補方法學來源；C8 改為以 Junior 可觀察的訊號為條件；C6a／C6b 的施測順序；寫明需求與現況由不同受訪者提供；說明 one-hot 範圍。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可執行實作</w:t>
            </w:r>
          </w:p>
        </w:tc>
        <w:tc>
          <w:tcPr>
            <w:tcW w:type="dxa" w:w="12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v1.2 候選方程檔（每項附單位與計價單位）；與 v1.0 分開的新求解器，含單一規劃者、雙層、三層三種模式；Junior 反應以 argmax 或 ρ 兩種形式實作；明定的 tie 規則；單位守恆檢查。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模擬驗證</w:t>
            </w:r>
          </w:p>
        </w:tc>
        <w:tc>
          <w:tcPr>
            <w:tcW w:type="dxa" w:w="12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在 v1.2 求解器上以佔位區間跑：保序重編碼族（依決策分類 robust／conditional／fragile）；三種模式的最適解與層級成本；Junior 反應對 Manager 配置的影響檢驗。v1.0 的 run_all.py 只作歷史回歸。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實際觀察</w:t>
            </w:r>
          </w:p>
        </w:tc>
        <w:tc>
          <w:tcPr>
            <w:tcW w:type="dxa" w:w="12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內容效度與 Q-sort（6–8 位專家）；至少兩輪試測（可回答性、重測一致、單調性探針、負擔）；三層決策權的文件或互證；至少一個 Junior 自主偏離的實例；Manager 預期 Junior 行為的證據；分別引出的目標取捨；全漢正式治理權的公開文件；利益關係揭露。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5. 原審查文件來源紀錄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9398"/>
      </w:tblGrid>
      <w:tr>
        <w:trPr>
          <w:tblHeader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檔案</w:t>
            </w:r>
          </w:p>
        </w:tc>
        <w:tc>
          <w:tcPr>
            <w:tcW w:type="dxa" w:w="9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SHA-256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Claude_v1_1_Measurement_Architecture_Review.docx（上一輪 A–J 報告）</w:t>
            </w:r>
          </w:p>
        </w:tc>
        <w:tc>
          <w:tcPr>
            <w:tcW w:type="dxa" w:w="9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5577eba42c8029d939dfdc7bb40f7872a86a74d647a3675431ac35b65a533948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hierarchy_diagnostic.py</w:t>
            </w:r>
          </w:p>
        </w:tc>
        <w:tc>
          <w:tcPr>
            <w:tcW w:type="dxa" w:w="9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106e147d8edbc232e51f3999c75a4ea6fc9b9af0c737be0358c3a2cfbc7d85ee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ordinal_invariance.py</w:t>
            </w:r>
          </w:p>
        </w:tc>
        <w:tc>
          <w:tcPr>
            <w:tcW w:type="dxa" w:w="9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d663c816c25f3e8b34252ee462b1fd7971f08f1475a6ba877419dffd34de18ee</w:t>
            </w:r>
          </w:p>
        </w:tc>
      </w:tr>
    </w:tbl>
    <w:p>
      <w:pPr>
        <w:spacing w:after="200"/>
      </w:pPr>
      <w:r>
        <w:rPr>
          <w:rFonts w:ascii="Arial" w:cs="Arial" w:eastAsia="Microsoft JhengHei" w:hAnsi="Arial"/>
          <w:sz w:val="20"/>
          <w:szCs w:val="20"/>
        </w:rPr>
        <w:t xml:space="preserve">用法：python3 ordinal_invariance.py &lt;repo_dir&gt;；python3 hierarchy_diagnostic.py &lt;repo_dir&gt;。兩者只讀 04 與 05，結果都是 SIMULATED。這兩支腳本診斷的是 v1.0；v1.2 候選版需要新的求解器才能檢驗。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2026-10-09T10:24:49.139Z</dcterms:created>
  <dcterms:modified xsi:type="dcterms:W3CDTF">2026-10-09T10:24:49.145Z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