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png" ContentType="image/png"/>
  <Override PartName="/word/media/rId1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nso-语义增强覆盖建图方案与验证设计"/>
    <w:p>
      <w:pPr>
        <w:pStyle w:val="Heading1"/>
      </w:pPr>
      <w:r>
        <w:t xml:space="preserve">NSO 语义增强覆盖建图方案与验证设计</w:t>
      </w:r>
    </w:p>
    <w:bookmarkStart w:id="22" w:name="研究结论"/>
    <w:p>
      <w:pPr>
        <w:pStyle w:val="Heading2"/>
      </w:pPr>
      <w:r>
        <w:t xml:space="preserve">研究结论</w:t>
      </w:r>
    </w:p>
    <w:p>
      <w:pPr>
        <w:pStyle w:val="FirstParagraph"/>
      </w:pPr>
      <w:r>
        <w:t xml:space="preserve">最新接口与效果证据（V10–V10.3）：原ANS组件管理器中的四模块CPU调用链已接通。V10真实151帧前缀的类别交换会改变实际目标，但冷启动32动作全部原地旋转。V10.1修复候选截断后，24个S/G/N分支全部移动、零碰撞返航，并由独立程序逐帧重放。V10.3进一步以实测表面方向位替代“相机位姿等于已观察”的推断；在八个工业资产历史上，S的“新增唯一表面积×最终F1@5cm”均值为9.079661，相对G提高28.27%，相对N提高18.07%，相对错误语义X提高88.34%。S对G/N均为6胜2负，对X为8胜0负。IGCR反馈与关闭反馈8/8相同，因而只能主张语义条件规划增益及反馈闭环可审计，不能主张IGCR独立性能增益。详见</w:t>
      </w:r>
      <w:hyperlink r:id="rId20">
        <w:r>
          <w:rPr>
            <w:rStyle w:val="Hyperlink"/>
          </w:rPr>
          <w:t xml:space="preserve">V10.3结果、理论与论文边界</w:t>
        </w:r>
      </w:hyperlink>
      <w:r>
        <w:t xml:space="preserve">。</w:t>
      </w:r>
    </w:p>
    <w:p>
      <w:pPr>
        <w:pStyle w:val="BodyText"/>
      </w:pPr>
      <w:r>
        <w:t xml:space="preserve">NSO 应将核心问题收敛为</w:t>
      </w:r>
      <w:r>
        <w:rPr>
          <w:bCs/>
          <w:b/>
        </w:rPr>
        <w:t xml:space="preserve">覆盖约束下的语义条件有效观测规划</w:t>
      </w:r>
      <w:r>
        <w:t xml:space="preserve">：机器人探索未知设施时，以二维覆盖作为持续推进的任务，用语义预测已发现对象仍欠缺的三维观测，并依据实际新增深度证据决定继续补看还是离开。ANS 全局目标—局部执行层次，以及 OV-SDF、STGHP、RPN-UQ、IGCR 四模块的职责与接口继续保留。需要改变的是四模块内部的状态、收益和约束，尤其是把静态语义吸引改成可被观测消耗、可被错误证据修正的需求。</w:t>
      </w:r>
    </w:p>
    <w:p>
      <w:pPr>
        <w:pStyle w:val="BodyText"/>
      </w:pPr>
      <w:r>
        <w:t xml:space="preserve">这一方向有充分的研究依据，也存在明确的竞争前作；尚不能称为已证明优于主流方法的完整系统。V3 开发结果显示新增物体假设模块平均弱于去除它的版本，并损失约 3.63 个百分点终点覆盖；新增 V4 覆盖保护在同一开发条件将损失缩小至 0.73 个百分点。当前最重要的工作仍是修复预测与实测收益脱节、覆盖机会成本失控、论文模块与实际执行路径脱节三类问题，并确认每项核心机制的净贡献。</w:t>
      </w:r>
    </w:p>
    <w:p>
      <w:pPr>
        <w:pStyle w:val="BodyText"/>
      </w:pPr>
      <w:r>
        <w:t xml:space="preserve">最新复核（2026-09-11）：旧V4唯一外表面联合AUC相对纯覆盖约高4.61%，但仍弱于去物体假设；V6响应探针与V7配对训练均未建立语义净优势。V8执行守卫已完成全部10条受影响开发路线的真实执行与独立回放：9条返回、1条停止，零碰撞；仅1条到达原目标，零条完成原完整路线。新双资产V8.1的24条真实分支、752动作已全部独立回放，零碰撞并完整返回；在这个固定开发构造中，S相对G/O的实际面积率高10.5464%，但终点F1低0.00290634，超过预定质量损失限制，且8/8条深入路线不满足观测排他性。原V8.1完整开发门槛仍未通过。精确输入位姿、前缀C=1和手工类别先验限定了此结果的范围，不能称完整方案优势。详见第七节。</w:t>
      </w:r>
    </w:p>
    <w:p>
      <w:pPr>
        <w:pStyle w:val="BodyText"/>
      </w:pPr>
      <w:r>
        <w:t xml:space="preserve">最新新几何验证：V9.1 的四组宽深/噪声条件、八个历史、44条真实路线及1328动作已全部独立回放，零碰撞、全部到达与返回。S比G/O的新增面积高29.0835%、终点F1高0.6597个百分点；比强覆盖质量对照N高27.8027%和0.3705个百分点，四父场景方向均正。S在8/8历史达到当前候选池最高F1，但对N的增幅仍未达到预定0.5个百分点，完整冻结进阶门槛未全过。此结果支持有限人工资产域中的类别条件贡献，不能称完整四模块、自然语义或主流系统优势。详见</w:t>
      </w:r>
      <w:hyperlink r:id="rId21">
        <w:r>
          <w:rPr>
            <w:rStyle w:val="Hyperlink"/>
          </w:rPr>
          <w:t xml:space="preserve">新结果与F1上限</w:t>
        </w:r>
      </w:hyperlink>
      <w:r>
        <w:t xml:space="preserve">。</w:t>
      </w:r>
    </w:p>
    <w:p>
      <w:pPr>
        <w:pStyle w:val="BodyText"/>
      </w:pPr>
      <w:r>
        <w:t xml:space="preserve">推荐的应用域是</w:t>
      </w:r>
      <w:r>
        <w:rPr>
          <w:bCs/>
          <w:b/>
        </w:rPr>
        <w:t xml:space="preserve">全向二维雷达与窄视场深度相机配置下，具有遮挡工作单元的未知设施覆盖建图</w:t>
      </w:r>
      <w:r>
        <w:t xml:space="preserve">。设备柜、工具架、储物格与实验台有明确的部件和检查需求；雷达发现了其平面轮廓，并不意味着相机已经得到完整表面。语义潜在优势来自“初见几何尚不能辨别隐藏结构，但可见类别线索能改变补看价值”，而非某个类别在评价器中被任意赋予更大权重。</w:t>
      </w:r>
    </w:p>
    <w:bookmarkEnd w:id="22"/>
    <w:bookmarkStart w:id="31" w:name="一现有证据与问题根因"/>
    <w:p>
      <w:pPr>
        <w:pStyle w:val="Heading2"/>
      </w:pPr>
      <w:r>
        <w:t xml:space="preserve">一、现有证据与问题根因</w:t>
      </w:r>
    </w:p>
    <w:bookmarkStart w:id="27" w:name="开发成绩支持到哪一步"/>
    <w:p>
      <w:pPr>
        <w:pStyle w:val="Heading3"/>
      </w:pPr>
      <w:r>
        <w:t xml:space="preserve">1. 开发成绩支持到哪一步</w:t>
      </w:r>
    </w:p>
    <w:p>
      <w:pPr>
        <w:pStyle w:val="FirstParagraph"/>
      </w:pPr>
      <w:r>
        <w:t xml:space="preserve">下表来自同一版本、同一后端的 40 回合开发对照：两个几何种子、两种布局、开放／背板遮挡两种条件、五种方法。同种子的多条件不是独立样本，不能据此作正式显著性结论。主指标是在 280 个动作预算下计算的二维覆盖与三维 F1 乘积的时间平均，三维表面阈值为 5cm。</w:t>
      </w:r>
      <w:r>
        <w:rPr>
          <w:rStyle w:val="FootnoteReference"/>
        </w:rPr>
        <w:footnoteReference w:id="23"/>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方法</w:t>
            </w:r>
          </w:p>
        </w:tc>
        <w:tc>
          <w:tcPr/>
          <w:p>
            <w:pPr>
              <w:pStyle w:val="Compact"/>
              <w:jc w:val="right"/>
            </w:pPr>
            <w:r>
              <w:t xml:space="preserve">联合 AUC</w:t>
            </w:r>
          </w:p>
        </w:tc>
        <w:tc>
          <w:tcPr/>
          <w:p>
            <w:pPr>
              <w:pStyle w:val="Compact"/>
              <w:jc w:val="right"/>
            </w:pPr>
            <w:r>
              <w:t xml:space="preserve">终点二维覆盖</w:t>
            </w:r>
          </w:p>
        </w:tc>
        <w:tc>
          <w:tcPr/>
          <w:p>
            <w:pPr>
              <w:pStyle w:val="Compact"/>
              <w:jc w:val="right"/>
            </w:pPr>
            <w:r>
              <w:t xml:space="preserve">终点 F1</w:t>
            </w:r>
          </w:p>
        </w:tc>
        <w:tc>
          <w:tcPr/>
          <w:p>
            <w:pPr>
              <w:pStyle w:val="Compact"/>
              <w:jc w:val="right"/>
            </w:pPr>
            <w:r>
              <w:t xml:space="preserve">平均表面误差</w:t>
            </w:r>
          </w:p>
        </w:tc>
      </w:tr>
      <w:tr>
        <w:tc>
          <w:tcPr/>
          <w:p>
            <w:pPr>
              <w:pStyle w:val="Compact"/>
              <w:jc w:val="left"/>
            </w:pPr>
            <w:r>
              <w:t xml:space="preserve">纯覆盖</w:t>
            </w:r>
          </w:p>
        </w:tc>
        <w:tc>
          <w:tcPr/>
          <w:p>
            <w:pPr>
              <w:pStyle w:val="Compact"/>
              <w:jc w:val="right"/>
            </w:pPr>
            <w:r>
              <w:t xml:space="preserve">0.475799</w:t>
            </w:r>
          </w:p>
        </w:tc>
        <w:tc>
          <w:tcPr/>
          <w:p>
            <w:pPr>
              <w:pStyle w:val="Compact"/>
              <w:jc w:val="right"/>
            </w:pPr>
            <w:r>
              <w:t xml:space="preserve">95.401%</w:t>
            </w:r>
          </w:p>
        </w:tc>
        <w:tc>
          <w:tcPr/>
          <w:p>
            <w:pPr>
              <w:pStyle w:val="Compact"/>
              <w:jc w:val="right"/>
            </w:pPr>
            <w:r>
              <w:t xml:space="preserve">86.625%</w:t>
            </w:r>
          </w:p>
        </w:tc>
        <w:tc>
          <w:tcPr/>
          <w:p>
            <w:pPr>
              <w:pStyle w:val="Compact"/>
              <w:jc w:val="right"/>
            </w:pPr>
            <w:r>
              <w:t xml:space="preserve">4.635mm</w:t>
            </w:r>
          </w:p>
        </w:tc>
      </w:tr>
      <w:tr>
        <w:tc>
          <w:tcPr/>
          <w:p>
            <w:pPr>
              <w:pStyle w:val="Compact"/>
              <w:jc w:val="left"/>
            </w:pPr>
            <w:r>
              <w:t xml:space="preserve">旧几何质量补看</w:t>
            </w:r>
          </w:p>
        </w:tc>
        <w:tc>
          <w:tcPr/>
          <w:p>
            <w:pPr>
              <w:pStyle w:val="Compact"/>
              <w:jc w:val="right"/>
            </w:pPr>
            <w:r>
              <w:t xml:space="preserve">0.467481</w:t>
            </w:r>
          </w:p>
        </w:tc>
        <w:tc>
          <w:tcPr/>
          <w:p>
            <w:pPr>
              <w:pStyle w:val="Compact"/>
              <w:jc w:val="right"/>
            </w:pPr>
            <w:r>
              <w:t xml:space="preserve">93.869%</w:t>
            </w:r>
          </w:p>
        </w:tc>
        <w:tc>
          <w:tcPr/>
          <w:p>
            <w:pPr>
              <w:pStyle w:val="Compact"/>
              <w:jc w:val="right"/>
            </w:pPr>
            <w:r>
              <w:t xml:space="preserve">87.306%</w:t>
            </w:r>
          </w:p>
        </w:tc>
        <w:tc>
          <w:tcPr/>
          <w:p>
            <w:pPr>
              <w:pStyle w:val="Compact"/>
              <w:jc w:val="right"/>
            </w:pPr>
            <w:r>
              <w:t xml:space="preserve">5.082mm</w:t>
            </w:r>
          </w:p>
        </w:tc>
      </w:tr>
      <w:tr>
        <w:tc>
          <w:tcPr/>
          <w:p>
            <w:pPr>
              <w:pStyle w:val="Compact"/>
              <w:jc w:val="left"/>
            </w:pPr>
            <w:r>
              <w:t xml:space="preserve">同形状库、同几何拟合的无语义版本</w:t>
            </w:r>
          </w:p>
        </w:tc>
        <w:tc>
          <w:tcPr/>
          <w:p>
            <w:pPr>
              <w:pStyle w:val="Compact"/>
              <w:jc w:val="right"/>
            </w:pPr>
            <w:r>
              <w:t xml:space="preserve">0.474657</w:t>
            </w:r>
          </w:p>
        </w:tc>
        <w:tc>
          <w:tcPr/>
          <w:p>
            <w:pPr>
              <w:pStyle w:val="Compact"/>
              <w:jc w:val="right"/>
            </w:pPr>
            <w:r>
              <w:t xml:space="preserve">91.775%</w:t>
            </w:r>
          </w:p>
        </w:tc>
        <w:tc>
          <w:tcPr/>
          <w:p>
            <w:pPr>
              <w:pStyle w:val="Compact"/>
              <w:jc w:val="right"/>
            </w:pPr>
            <w:r>
              <w:t xml:space="preserve">83.897%</w:t>
            </w:r>
          </w:p>
        </w:tc>
        <w:tc>
          <w:tcPr/>
          <w:p>
            <w:pPr>
              <w:pStyle w:val="Compact"/>
              <w:jc w:val="right"/>
            </w:pPr>
            <w:r>
              <w:t xml:space="preserve">5.094mm</w:t>
            </w:r>
          </w:p>
        </w:tc>
      </w:tr>
      <w:tr>
        <w:tc>
          <w:tcPr/>
          <w:p>
            <w:pPr>
              <w:pStyle w:val="Compact"/>
              <w:jc w:val="left"/>
            </w:pPr>
            <w:r>
              <w:t xml:space="preserve">语义完整 CPU V3 原型</w:t>
            </w:r>
          </w:p>
        </w:tc>
        <w:tc>
          <w:tcPr/>
          <w:p>
            <w:pPr>
              <w:pStyle w:val="Compact"/>
              <w:jc w:val="right"/>
            </w:pPr>
            <w:r>
              <w:t xml:space="preserve">0.494072</w:t>
            </w:r>
          </w:p>
        </w:tc>
        <w:tc>
          <w:tcPr/>
          <w:p>
            <w:pPr>
              <w:pStyle w:val="Compact"/>
              <w:jc w:val="right"/>
            </w:pPr>
            <w:r>
              <w:t xml:space="preserve">91.768%</w:t>
            </w:r>
          </w:p>
        </w:tc>
        <w:tc>
          <w:tcPr/>
          <w:p>
            <w:pPr>
              <w:pStyle w:val="Compact"/>
              <w:jc w:val="right"/>
            </w:pPr>
            <w:r>
              <w:t xml:space="preserve">85.894%</w:t>
            </w:r>
          </w:p>
        </w:tc>
        <w:tc>
          <w:tcPr/>
          <w:p>
            <w:pPr>
              <w:pStyle w:val="Compact"/>
              <w:jc w:val="right"/>
            </w:pPr>
            <w:r>
              <w:t xml:space="preserve">5.031mm</w:t>
            </w:r>
          </w:p>
        </w:tc>
      </w:tr>
      <w:tr>
        <w:tc>
          <w:tcPr/>
          <w:p>
            <w:pPr>
              <w:pStyle w:val="Compact"/>
              <w:jc w:val="left"/>
            </w:pPr>
            <w:r>
              <w:t xml:space="preserve">去物体假设版本</w:t>
            </w:r>
          </w:p>
        </w:tc>
        <w:tc>
          <w:tcPr/>
          <w:p>
            <w:pPr>
              <w:pStyle w:val="Compact"/>
              <w:jc w:val="right"/>
            </w:pPr>
            <w:r>
              <w:t xml:space="preserve">0.502732</w:t>
            </w:r>
          </w:p>
        </w:tc>
        <w:tc>
          <w:tcPr/>
          <w:p>
            <w:pPr>
              <w:pStyle w:val="Compact"/>
              <w:jc w:val="right"/>
            </w:pPr>
            <w:r>
              <w:t xml:space="preserve">92.446%</w:t>
            </w:r>
          </w:p>
        </w:tc>
        <w:tc>
          <w:tcPr/>
          <w:p>
            <w:pPr>
              <w:pStyle w:val="Compact"/>
              <w:jc w:val="right"/>
            </w:pPr>
            <w:r>
              <w:t xml:space="preserve">86.597%</w:t>
            </w:r>
          </w:p>
        </w:tc>
        <w:tc>
          <w:tcPr/>
          <w:p>
            <w:pPr>
              <w:pStyle w:val="Compact"/>
              <w:jc w:val="right"/>
            </w:pPr>
            <w:r>
              <w:t xml:space="preserve">4.902mm</w:t>
            </w:r>
          </w:p>
        </w:tc>
      </w:tr>
    </w:tbl>
    <w:p>
      <w:pPr>
        <w:pStyle w:val="BodyText"/>
      </w:pPr>
      <w:r>
        <w:t xml:space="preserve">完整原型相对同条件无语义版本的联合 AUC 均值高约 4.09%，相对纯覆盖高约 3.84%；但相对去物体假设版本低约 1.72%。与纯覆盖相比，它的最终 F1 和表面误差也没有改善。联合 AUC 提升意味着某些时段的覆盖与重建组合较好，不能推断所有终点指标都更好。</w:t>
      </w:r>
    </w:p>
    <w:p>
      <w:pPr>
        <w:pStyle w:val="BodyText"/>
      </w:pPr>
      <w:r>
        <w:t xml:space="preserve">布局差异很大。货架布局中完整原型相对纯覆盖的联合 AUC 平均提高约 8.59%，多房间布局则下降约 2.81%；少数条件贡献了大部分语义增量。这支持继续研究特定信息结构，不支持已经确认“大尺度语义场景普遍占优”。已有正确／置换／缺失标签检查证明干预没有改动 RGB-D、雷达或评价真值，但合成可见标签仍只是规划机制的理想感知条件。</w:t>
      </w:r>
    </w:p>
    <w:bookmarkEnd w:id="27"/>
    <w:bookmarkStart w:id="28" w:name="根因一预测信息没有稳定转化为真实收益"/>
    <w:p>
      <w:pPr>
        <w:pStyle w:val="Heading3"/>
      </w:pPr>
      <w:r>
        <w:t xml:space="preserve">2. 根因一：预测信息没有稳定转化为真实收益</w:t>
      </w:r>
    </w:p>
    <w:p>
      <w:pPr>
        <w:pStyle w:val="FirstParagraph"/>
      </w:pPr>
      <w:r>
        <w:t xml:space="preserve">当前几何后验来自手工箱体／货架模型及拟合误差尺度，缺少独立概率校准。已有表面方向新颖性、距离／入射角改善、隐藏表面面积又分别进入预测，容易把不可靠的同一观测需求重复计入。即使预测面已经没有实际补全价值，重建、重聚类或噪声也可能让它重新表现为有收益。</w:t>
      </w:r>
    </w:p>
    <w:p>
      <w:pPr>
        <w:pStyle w:val="BodyText"/>
      </w:pPr>
      <w:r>
        <w:t xml:space="preserve">运行记录中，某多房间回合的 35 次目标选择有 26 次重复位姿及朝向，预测二维增量为零的目标累计计划了 68 个动作。重复本身不能证明无效，但缺少执行后结算和停止规则是明确的缺口。修正应在目标执行前保存预测，在执行后计算新增实测证据，并保留稳定空间身份；模型置信上升或标签被再次检测不能直接领取重建收益。</w:t>
      </w:r>
    </w:p>
    <w:bookmarkEnd w:id="28"/>
    <w:bookmarkStart w:id="29" w:name="根因二覆盖和补看之间没有可执行的预算承诺"/>
    <w:p>
      <w:pPr>
        <w:pStyle w:val="Heading3"/>
      </w:pPr>
      <w:r>
        <w:t xml:space="preserve">3. 根因二：覆盖和补看之间没有可执行的预算承诺</w:t>
      </w:r>
    </w:p>
    <w:p>
      <w:pPr>
        <w:pStyle w:val="FirstParagraph"/>
      </w:pPr>
      <w:r>
        <w:t xml:space="preserve">乘积目标能鼓励覆盖与质量协同，却不能阻止末段补看挤占进入下一房间的关键动作。当前候选混排与短路线重规划可能不断改变区域访问顺序，导致覆盖在后段停滞。仅设置较小语义权重，也不能保证损失小于预定的两个百分点。</w:t>
      </w:r>
    </w:p>
    <w:p>
      <w:pPr>
        <w:pStyle w:val="BodyText"/>
      </w:pPr>
      <w:r>
        <w:t xml:space="preserve">需要同时比较当前地图上的覆盖方案与补看方案，核算整段路径的前进、转向与观察成本，并保存能够继续执行的覆盖计划。CPU 第一版守卫采用同起点预测覆盖效率、补看动作额度和末段覆盖预留；它是可审计的开发控制，不是对未知真值覆盖的数学保证。后续应把它推进为含接驳和返回成本的覆盖保留路线。</w:t>
      </w:r>
    </w:p>
    <w:bookmarkEnd w:id="29"/>
    <w:bookmarkStart w:id="30" w:name="根因三论文架构与实际执行路径不一致"/>
    <w:p>
      <w:pPr>
        <w:pStyle w:val="Heading3"/>
      </w:pPr>
      <w:r>
        <w:t xml:space="preserve">4. 根因三：论文架构与实际执行路径不一致</w:t>
      </w:r>
    </w:p>
    <w:p>
      <w:pPr>
        <w:pStyle w:val="FirstParagraph"/>
      </w:pPr>
      <w:r>
        <w:t xml:space="preserve">审计发现，四模块管理器原先虽在主程序初始化，多数接口却没有进入实际决策循环；CPU 三维原型也绕过了该管理器。原拓扑模块通过连通自由空间分量识别房间，在“两房一门”已连通地图上可能只得到一个房间。CLIP 缺失时的常量相似度、未经训练的可达性分支，都不能当成有效模块。</w:t>
      </w:r>
    </w:p>
    <w:p>
      <w:pPr>
        <w:pStyle w:val="BodyText"/>
      </w:pPr>
      <w:r>
        <w:t xml:space="preserve">已经补上原 ANS 初始／周期目标、观测与重置的最小适配，并隔离各场景状态；缺真实语义能力或匹配 UQ 权重时明确禁用对应能力。当前 IGCR 只输出真实地图变化诊断，尚未替换 PPO 奖励；自动重置接口还缺终止前传感器状态。该接线证明模块可被实际调用，不证明完整 Habitat 神经系统或四模块新算法已经完成。</w:t>
      </w:r>
    </w:p>
    <w:bookmarkEnd w:id="30"/>
    <w:bookmarkEnd w:id="31"/>
    <w:bookmarkStart w:id="51" w:name="二近期研究与本方案的区别"/>
    <w:p>
      <w:pPr>
        <w:pStyle w:val="Heading2"/>
      </w:pPr>
      <w:r>
        <w:t xml:space="preserve">二、近期研究与本方案的区别</w:t>
      </w:r>
    </w:p>
    <w:p>
      <w:pPr>
        <w:pStyle w:val="FirstParagraph"/>
      </w:pPr>
      <w:r>
        <w:t xml:space="preserve">TARE 的双分辨率路线与 FUEL 的增量前沿、全局访问顺序已经构成很强的几何覆盖基础。FALCON 进一步让局部前沿访问服从覆盖路径指导。因而“房间多”</w:t>
      </w:r>
      <w:r>
        <w:t xml:space="preserve">“</w:t>
      </w:r>
      <w:r>
        <w:t xml:space="preserve">需要层次规划</w:t>
      </w:r>
      <w:r>
        <w:t xml:space="preserve">”</w:t>
      </w:r>
      <w:r>
        <w:t xml:space="preserve">本身不是 NSO 战胜它们的理由；STGHP 必须保留区域顺序和去重收益，而不能把几何覆盖基线简化成最近前沿。</w:t>
      </w:r>
      <w:r>
        <w:rPr>
          <w:rStyle w:val="FootnoteReference"/>
        </w:rPr>
        <w:footnoteReference w:id="32"/>
      </w:r>
      <w:r>
        <w:rPr>
          <w:rStyle w:val="FootnoteReference"/>
        </w:rPr>
        <w:footnoteReference w:id="34"/>
      </w:r>
      <w:r>
        <w:rPr>
          <w:rStyle w:val="FootnoteReference"/>
        </w:rPr>
        <w:footnoteReference w:id="37"/>
      </w:r>
    </w:p>
    <w:p>
      <w:pPr>
        <w:pStyle w:val="BodyText"/>
      </w:pPr>
      <w:r>
        <w:t xml:space="preserve">Finding Things in the Unknown 已按对象与背景设置不同观察需求；NBV-SC 已利用形状补全引导缺失表面观察。2025 年全景 LiDAR–Camera 地面探索进一步分别管理几何与语义视点，并要求完成物体多方向观察。这些工作意味着“高语义物体多看几次”</w:t>
      </w:r>
      <w:r>
        <w:t xml:space="preserve">“</w:t>
      </w:r>
      <w:r>
        <w:t xml:space="preserve">形状先验生成补看目标</w:t>
      </w:r>
      <w:r>
        <w:t xml:space="preserve">”</w:t>
      </w:r>
      <w:r>
        <w:t xml:space="preserve">和“语义视点加全局路线”均不能单独作为新颖性主张。</w:t>
      </w:r>
      <w:r>
        <w:rPr>
          <w:rStyle w:val="FootnoteReference"/>
        </w:rPr>
        <w:footnoteReference w:id="39"/>
      </w:r>
      <w:r>
        <w:rPr>
          <w:rStyle w:val="FootnoteReference"/>
        </w:rPr>
        <w:footnoteReference w:id="41"/>
      </w:r>
      <w:r>
        <w:rPr>
          <w:rStyle w:val="FootnoteReference"/>
        </w:rPr>
        <w:footnoteReference w:id="43"/>
      </w:r>
    </w:p>
    <w:p>
      <w:pPr>
        <w:pStyle w:val="BodyText"/>
      </w:pPr>
      <w:r>
        <w:t xml:space="preserve">2026 年 SAGE 把 CLIP 与 FALCON 结合，论文明确报告对象发现收益及覆盖效率代价；BayesianNBV 从任务效用和不确定几何出发选择视点。它们支持把语义用于行动相关的价值预测，但不能替 NSO 的手工模型背书为校准后验，也不能把其他任务的收益转移为本项目的实测精度。</w:t>
      </w:r>
      <w:r>
        <w:rPr>
          <w:rStyle w:val="FootnoteReference"/>
        </w:rPr>
        <w:footnoteReference w:id="46"/>
      </w:r>
      <w:r>
        <w:rPr>
          <w:rStyle w:val="FootnoteReference"/>
        </w:rPr>
        <w:footnoteReference w:id="48"/>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研究路线</w:t>
            </w:r>
          </w:p>
        </w:tc>
        <w:tc>
          <w:tcPr/>
          <w:p>
            <w:pPr>
              <w:pStyle w:val="Compact"/>
              <w:jc w:val="left"/>
            </w:pPr>
            <w:r>
              <w:t xml:space="preserve">已有能力</w:t>
            </w:r>
          </w:p>
        </w:tc>
        <w:tc>
          <w:tcPr/>
          <w:p>
            <w:pPr>
              <w:pStyle w:val="Compact"/>
              <w:jc w:val="left"/>
            </w:pPr>
            <w:r>
              <w:t xml:space="preserve">NSO 必须额外验证的部分</w:t>
            </w:r>
          </w:p>
        </w:tc>
      </w:tr>
      <w:tr>
        <w:tc>
          <w:tcPr/>
          <w:p>
            <w:pPr>
              <w:pStyle w:val="Compact"/>
              <w:jc w:val="left"/>
            </w:pPr>
            <w:r>
              <w:t xml:space="preserve">TARE／FUEL／FALCON</w:t>
            </w:r>
          </w:p>
        </w:tc>
        <w:tc>
          <w:tcPr/>
          <w:p>
            <w:pPr>
              <w:pStyle w:val="Compact"/>
              <w:jc w:val="left"/>
            </w:pPr>
            <w:r>
              <w:t xml:space="preserve">高效几何覆盖、访问顺序和全局／局部协调</w:t>
            </w:r>
          </w:p>
        </w:tc>
        <w:tc>
          <w:tcPr/>
          <w:p>
            <w:pPr>
              <w:pStyle w:val="Compact"/>
              <w:jc w:val="left"/>
            </w:pPr>
            <w:r>
              <w:t xml:space="preserve">相同运动预算下，语义补看是否带来足够三维收益</w:t>
            </w:r>
          </w:p>
        </w:tc>
      </w:tr>
      <w:tr>
        <w:tc>
          <w:tcPr/>
          <w:p>
            <w:pPr>
              <w:pStyle w:val="Compact"/>
              <w:jc w:val="left"/>
            </w:pPr>
            <w:r>
              <w:t xml:space="preserve">FTU／固定对象观察需求</w:t>
            </w:r>
          </w:p>
        </w:tc>
        <w:tc>
          <w:tcPr/>
          <w:p>
            <w:pPr>
              <w:pStyle w:val="Compact"/>
              <w:jc w:val="left"/>
            </w:pPr>
            <w:r>
              <w:t xml:space="preserve">物体比背景获得更近或更多观察</w:t>
            </w:r>
          </w:p>
        </w:tc>
        <w:tc>
          <w:tcPr/>
          <w:p>
            <w:pPr>
              <w:pStyle w:val="Compact"/>
              <w:jc w:val="left"/>
            </w:pPr>
            <w:r>
              <w:t xml:space="preserve">细类别是否超过仅物体／背景信息</w:t>
            </w:r>
          </w:p>
        </w:tc>
      </w:tr>
      <w:tr>
        <w:tc>
          <w:tcPr/>
          <w:p>
            <w:pPr>
              <w:pStyle w:val="Compact"/>
              <w:jc w:val="left"/>
            </w:pPr>
            <w:r>
              <w:t xml:space="preserve">NBV-SC／形状补全选视角</w:t>
            </w:r>
          </w:p>
        </w:tc>
        <w:tc>
          <w:tcPr/>
          <w:p>
            <w:pPr>
              <w:pStyle w:val="Compact"/>
              <w:jc w:val="left"/>
            </w:pPr>
            <w:r>
              <w:t xml:space="preserve">用预测缺失面安排观察</w:t>
            </w:r>
          </w:p>
        </w:tc>
        <w:tc>
          <w:tcPr/>
          <w:p>
            <w:pPr>
              <w:pStyle w:val="Compact"/>
              <w:jc w:val="left"/>
            </w:pPr>
            <w:r>
              <w:t xml:space="preserve">错误先验是否被实测证据抑制，预测是否能兑现</w:t>
            </w:r>
          </w:p>
        </w:tc>
      </w:tr>
      <w:tr>
        <w:tc>
          <w:tcPr/>
          <w:p>
            <w:pPr>
              <w:pStyle w:val="Compact"/>
              <w:jc w:val="left"/>
            </w:pPr>
            <w:r>
              <w:t xml:space="preserve">2025 全景语义探索</w:t>
            </w:r>
          </w:p>
        </w:tc>
        <w:tc>
          <w:tcPr/>
          <w:p>
            <w:pPr>
              <w:pStyle w:val="Compact"/>
              <w:jc w:val="left"/>
            </w:pPr>
            <w:r>
              <w:t xml:space="preserve">多视角物体检查与几何覆盖联合规划</w:t>
            </w:r>
          </w:p>
        </w:tc>
        <w:tc>
          <w:tcPr/>
          <w:p>
            <w:pPr>
              <w:pStyle w:val="Compact"/>
              <w:jc w:val="left"/>
            </w:pPr>
            <w:r>
              <w:t xml:space="preserve">不同传感器视野下，以实际收益停止补看是否更有效</w:t>
            </w:r>
          </w:p>
        </w:tc>
      </w:tr>
      <w:tr>
        <w:tc>
          <w:tcPr/>
          <w:p>
            <w:pPr>
              <w:pStyle w:val="Compact"/>
              <w:jc w:val="left"/>
            </w:pPr>
            <w:r>
              <w:t xml:space="preserve">SAGE／语言条件探索</w:t>
            </w:r>
          </w:p>
        </w:tc>
        <w:tc>
          <w:tcPr/>
          <w:p>
            <w:pPr>
              <w:pStyle w:val="Compact"/>
              <w:jc w:val="left"/>
            </w:pPr>
            <w:r>
              <w:t xml:space="preserve">语义引导任务对象发现</w:t>
            </w:r>
          </w:p>
        </w:tc>
        <w:tc>
          <w:tcPr/>
          <w:p>
            <w:pPr>
              <w:pStyle w:val="Compact"/>
              <w:jc w:val="left"/>
            </w:pPr>
            <w:r>
              <w:t xml:space="preserve">无类别加权的重建指标及覆盖约束能否同时通过</w:t>
            </w:r>
          </w:p>
        </w:tc>
      </w:tr>
      <w:tr>
        <w:tc>
          <w:tcPr/>
          <w:p>
            <w:pPr>
              <w:pStyle w:val="Compact"/>
              <w:jc w:val="left"/>
            </w:pPr>
            <w:r>
              <w:t xml:space="preserve">BayesianNBV／任务效用选视角</w:t>
            </w:r>
          </w:p>
        </w:tc>
        <w:tc>
          <w:tcPr/>
          <w:p>
            <w:pPr>
              <w:pStyle w:val="Compact"/>
              <w:jc w:val="left"/>
            </w:pPr>
            <w:r>
              <w:t xml:space="preserve">根据未来观测的期望任务效用选视角</w:t>
            </w:r>
          </w:p>
        </w:tc>
        <w:tc>
          <w:tcPr/>
          <w:p>
            <w:pPr>
              <w:pStyle w:val="Compact"/>
              <w:jc w:val="left"/>
            </w:pPr>
            <w:r>
              <w:t xml:space="preserve">低计算量近似的误差、执行成本和全场景效益</w:t>
            </w:r>
          </w:p>
        </w:tc>
      </w:tr>
    </w:tbl>
    <w:p>
      <w:pPr>
        <w:pStyle w:val="BodyText"/>
      </w:pPr>
      <w:r>
        <w:t xml:space="preserve">可尝试建立的创新主张是：</w:t>
      </w:r>
      <w:r>
        <w:rPr>
          <w:bCs/>
          <w:b/>
        </w:rPr>
        <w:t xml:space="preserve">在覆盖预算约束下，将可见语义转换为对象剩余观测需求，并通过实际新增表面证据持续校正需求，使补看随收益耗尽而停止。</w:t>
      </w:r>
      <w:r>
        <w:t xml:space="preserve"> </w:t>
      </w:r>
      <w:r>
        <w:t xml:space="preserve">创新应落在这一完整闭环的可验证增量，而非四个已有技术名称的组合。对最接近前作，需要分别实现同候选的固定扇区检查、物体距离阈值检查与几何模型选视角对照。</w:t>
      </w:r>
    </w:p>
    <w:bookmarkEnd w:id="51"/>
    <w:bookmarkStart w:id="57" w:name="三保持四模块与-ans-层次的内部改造"/>
    <w:p>
      <w:pPr>
        <w:pStyle w:val="Heading2"/>
      </w:pPr>
      <w:r>
        <w:t xml:space="preserve">三、保持四模块与 ANS 层次的内部改造</w:t>
      </w:r>
    </w:p>
    <w:bookmarkStart w:id="52" w:name="ov-sdf从语义密度变为剩余观测需求场"/>
    <w:p>
      <w:pPr>
        <w:pStyle w:val="Heading3"/>
      </w:pPr>
      <w:r>
        <w:t xml:space="preserve">OV-SDF：从语义密度变为剩余观测需求场</w:t>
      </w:r>
    </w:p>
    <w:p>
      <w:pPr>
        <w:pStyle w:val="FirstParagraph"/>
      </w:pPr>
      <w:r>
        <w:t xml:space="preserve">保留图像输入与二维语义场输出，增加可选的深度、相机内参、位姿和表面状态输入；原有位置参数继续兼容。语义像素应通过真实深度反投影，并与稳定对象／局部面元身份关联。二维场表达附近仍有多少可信的观测需求，额外的类别后验与形状假设通过内部附属状态维护。</w:t>
      </w:r>
    </w:p>
    <w:p>
      <w:pPr>
        <w:pStyle w:val="BodyText"/>
      </w:pPr>
      <w:r>
        <w:t xml:space="preserve">对对象</w:t>
      </w:r>
      <w:r>
        <w:t xml:space="preserve"> </w:t>
      </w:r>
      <m:oMath>
        <m:r>
          <m:t>o</m:t>
        </m:r>
      </m:oMath>
      <w:r>
        <w:t xml:space="preserve">，使用可见类别证据形成隐藏结构先验，再由所有方法共享的已测几何似然修正：</w:t>
      </w:r>
    </w:p>
    <w:p>
      <w:pPr>
        <w:pStyle w:val="BodyText"/>
      </w:pPr>
      <m:oMathPara>
        <m:oMathParaPr>
          <m:jc m:val="center"/>
        </m:oMathParaPr>
        <m:oMath>
          <m:sSub>
            <m:e>
              <m:acc>
                <m:accPr>
                  <m:chr m:val="̂"/>
                </m:accPr>
                <m:e>
                  <m:r>
                    <m:t>b</m:t>
                  </m:r>
                </m:e>
              </m:acc>
            </m:e>
            <m:sub>
              <m:r>
                <m:t>t</m:t>
              </m:r>
            </m:sub>
          </m:sSub>
          <m:d>
            <m:dPr>
              <m:begChr m:val="("/>
              <m:endChr m:val=")"/>
              <m:sepChr m:val=""/>
              <m:grow/>
            </m:dPr>
            <m:e>
              <m:sSub>
                <m:e>
                  <m:r>
                    <m:t>H</m:t>
                  </m:r>
                </m:e>
                <m:sub>
                  <m:r>
                    <m:t>o</m:t>
                  </m:r>
                </m:sub>
              </m:sSub>
            </m:e>
          </m:d>
          <m:r>
            <m:rPr>
              <m:sty m:val="p"/>
            </m:rPr>
            <m:t>∝</m:t>
          </m:r>
          <m:acc>
            <m:accPr>
              <m:chr m:val="̂"/>
            </m:accPr>
            <m:e>
              <m:r>
                <m:t>p</m:t>
              </m:r>
            </m:e>
          </m:acc>
          <m:d>
            <m:dPr>
              <m:begChr m:val="("/>
              <m:endChr m:val=")"/>
              <m:sepChr m:val=""/>
              <m:grow/>
            </m:dPr>
            <m:e>
              <m:sSub>
                <m:e>
                  <m:r>
                    <m:t>G</m:t>
                  </m:r>
                </m:e>
                <m:sub>
                  <m:r>
                    <m:t>o</m:t>
                  </m:r>
                  <m:r>
                    <m:rPr>
                      <m:sty m:val="p"/>
                    </m:rPr>
                    <m:t>,</m:t>
                  </m:r>
                  <m:r>
                    <m:t>0</m:t>
                  </m:r>
                  <m:r>
                    <m:rPr>
                      <m:sty m:val="p"/>
                    </m:rPr>
                    <m:t>:</m:t>
                  </m:r>
                  <m:r>
                    <m:t>t</m:t>
                  </m:r>
                </m:sub>
              </m:sSub>
              <m:r>
                <m:rPr>
                  <m:sty m:val="p"/>
                </m:rPr>
                <m:t>∣</m:t>
              </m:r>
              <m:sSub>
                <m:e>
                  <m:r>
                    <m:t>H</m:t>
                  </m:r>
                </m:e>
                <m:sub>
                  <m:r>
                    <m:t>o</m:t>
                  </m:r>
                </m:sub>
              </m:sSub>
            </m:e>
          </m:d>
          <m:r>
            <m:t> </m:t>
          </m:r>
          <m:acc>
            <m:accPr>
              <m:chr m:val="̂"/>
            </m:accPr>
            <m:e>
              <m:r>
                <m:t>p</m:t>
              </m:r>
            </m:e>
          </m:acc>
          <m:d>
            <m:dPr>
              <m:begChr m:val="("/>
              <m:endChr m:val=")"/>
              <m:sepChr m:val=""/>
              <m:grow/>
            </m:dPr>
            <m:e>
              <m:sSub>
                <m:e>
                  <m:r>
                    <m:t>H</m:t>
                  </m:r>
                </m:e>
                <m:sub>
                  <m:r>
                    <m:t>o</m:t>
                  </m:r>
                </m:sub>
              </m:sSub>
              <m:r>
                <m:rPr>
                  <m:sty m:val="p"/>
                </m:rPr>
                <m:t>∣</m:t>
              </m:r>
              <m:sSub>
                <m:e>
                  <m:r>
                    <m:t>Z</m:t>
                  </m:r>
                </m:e>
                <m:sub>
                  <m:r>
                    <m:t>o</m:t>
                  </m:r>
                  <m:r>
                    <m:rPr>
                      <m:sty m:val="p"/>
                    </m:rPr>
                    <m:t>,</m:t>
                  </m:r>
                  <m:r>
                    <m:t>0</m:t>
                  </m:r>
                  <m:r>
                    <m:rPr>
                      <m:sty m:val="p"/>
                    </m:rPr>
                    <m:t>:</m:t>
                  </m:r>
                  <m:r>
                    <m:t>t</m:t>
                  </m:r>
                </m:sub>
              </m:sSub>
            </m:e>
          </m:d>
          <m:r>
            <m:rPr>
              <m:sty m:val="p"/>
            </m:rPr>
            <m:t>.</m:t>
          </m:r>
        </m:oMath>
      </m:oMathPara>
    </w:p>
    <w:p>
      <w:pPr>
        <w:pStyle w:val="FirstParagraph"/>
      </w:pPr>
      <w:r>
        <w:t xml:space="preserve">符号上的后验形式不构成概率校准。开发阶段应称为近似形状信念，并报告类别准确率、先验失配以及形状预测兑现率。缺失标签恢复共同几何先验；仅物体性、随机标签和真实视觉输出都应单列。预测表面只用于规划，不进入 TSDF、评价参考或已观测面积。</w:t>
      </w:r>
    </w:p>
    <w:bookmarkEnd w:id="52"/>
    <w:bookmarkStart w:id="53" w:name="stghp覆盖访问顺序加有限补看"/>
    <w:p>
      <w:pPr>
        <w:pStyle w:val="Heading3"/>
      </w:pPr>
      <w:r>
        <w:t xml:space="preserve">STGHP：覆盖访问顺序加有限补看</w:t>
      </w:r>
    </w:p>
    <w:p>
      <w:pPr>
        <w:pStyle w:val="FirstParagraph"/>
      </w:pPr>
      <w:r>
        <w:t xml:space="preserve">保留区域／门连接图与长期目标接口，把每个区域的未探索平面、相机尚未观察区域、对象需求分别保存。区域边权来自已知安全空间的含朝向运动成本。区域内可以安排补看，但需满足覆盖保留成本与风险约束，并用去重后的边际收益选择下一视点。</w:t>
      </w:r>
    </w:p>
    <w:p>
      <w:pPr>
        <w:pStyle w:val="BodyText"/>
      </w:pPr>
      <w:r>
        <w:t xml:space="preserve">真正的房间划分需先识别狭窄通道或分离区域核心，再恢复门连接；不能直接把整个连通自由空间当成单房间。普通开放大厅可以只形成一个区域，此时层次模块应平稳退化为局部覆盖。拓扑图的作用应通过回迁成本、区域完成顺序和闭环主指标验证，不能宣称从根源消除震荡。</w:t>
      </w:r>
    </w:p>
    <w:bookmarkEnd w:id="53"/>
    <w:bookmarkStart w:id="54" w:name="rpn-uq已知几何硬约束与可校准执行风险"/>
    <w:p>
      <w:pPr>
        <w:pStyle w:val="Heading3"/>
      </w:pPr>
      <w:r>
        <w:t xml:space="preserve">RPN-UQ：已知几何硬约束与可校准执行风险</w:t>
      </w:r>
    </w:p>
    <w:p>
      <w:pPr>
        <w:pStyle w:val="FirstParagraph"/>
      </w:pPr>
      <w:r>
        <w:t xml:space="preserve">保留均值／方差输出接口。首先检查机器人完整轮廓位于已知自由空间、路径连通、目标视场以及预算可执行；学习分支不能覆盖这些硬约束。随后针对明确定义的事件，例如“给定目标与时间窗内成功到达”，记录预测时状态和实际成功／超时／碰撞结果。</w:t>
      </w:r>
    </w:p>
    <w:p>
      <w:pPr>
        <w:pStyle w:val="BodyText"/>
      </w:pPr>
      <w:r>
        <w:t xml:space="preserve">MC-Dropout 方差只表征指定模型的随机预测变化，不能自动解释为路径失败概率或物理安全证书。需要匹配网络的权重、独立场景校准和选中目标的风险报告；缺权重时模块保留接口并明确不可用。若改用路径代价的均值和方差，必须明确它们与原成功概率输出的区别，不混用概率界。</w:t>
      </w:r>
    </w:p>
    <w:bookmarkEnd w:id="54"/>
    <w:bookmarkStart w:id="55" w:name="igcr预测排序与实测结算分离"/>
    <w:p>
      <w:pPr>
        <w:pStyle w:val="Heading3"/>
      </w:pPr>
      <w:r>
        <w:t xml:space="preserve">IGCR：预测排序与实测结算分离</w:t>
      </w:r>
    </w:p>
    <w:p>
      <w:pPr>
        <w:pStyle w:val="FirstParagraph"/>
      </w:pPr>
      <w:r>
        <w:t xml:space="preserve">保留收益计算接口，但把二维新增面积、三维新表面证据、已有表面质量改善和实际动作成本分开记录。规划用预测收益，训练或反馈用实测增量。未观察的形状、类别重要性或模型置信度本身不等于已完成任务。</w:t>
      </w:r>
    </w:p>
    <w:p>
      <w:pPr>
        <w:pStyle w:val="BodyText"/>
      </w:pPr>
      <w:r>
        <w:t xml:space="preserve">CPU 守卫目前使用固定 15cm 空间身份，要求至少两次深度支持，并对视角与距离／入射角代理做饱和处理。每个身份维护历史最高证据值，防止噪声、临时删除和重复拟合重新支付同一收益。该账本有明确的会计性质，但不等于真实表面积或真实几何精度；其与 F1、固定支持面误差的对应关系必须另做验证。</w:t>
      </w:r>
    </w:p>
    <w:bookmarkEnd w:id="55"/>
    <w:bookmarkStart w:id="56" w:name="实际数据流与训练兼容"/>
    <w:p>
      <w:pPr>
        <w:pStyle w:val="Heading3"/>
      </w:pPr>
      <w:r>
        <w:t xml:space="preserve">实际数据流与训练兼容</w:t>
      </w:r>
    </w:p>
    <w:p>
      <w:pPr>
        <w:pStyle w:val="FirstParagraph"/>
      </w:pPr>
      <w:r>
        <w:t xml:space="preserve">观测首先更新占据、深度融合与 OV-SDF，STGHP 更新区域需求和候选；RPN-UQ 与几何检查提供可执行性，ANS 全局策略给出或评分长期候选，局部 FMM／局部策略执行；实际动作与观测回到 IGCR 和需求状态。这样四模块持续交互，而不是只在初始化时存在。</w:t>
      </w:r>
    </w:p>
    <w:p>
      <w:pPr>
        <w:pStyle w:val="BodyText"/>
      </w:pPr>
      <w:r>
        <w:t xml:space="preserve">原 ANS Actor 输出连续二维动作，其分布并非地图格点上的类别分布。若对采样目标作新的语义／风险后处理，PPO 训练必须保存实际执行分布相应的概率；不能改变动作却继续沿用旧分布概率。目前目标后处理限定在评估或全局策略固定时，训练路径的分布改造与终止状态传递作为独立工程任务。</w:t>
      </w:r>
    </w:p>
    <w:bookmarkEnd w:id="56"/>
    <w:bookmarkEnd w:id="57"/>
    <w:bookmarkStart w:id="68" w:name="四可推导的性质与不可越过的边界"/>
    <w:p>
      <w:pPr>
        <w:pStyle w:val="Heading2"/>
      </w:pPr>
      <w:r>
        <w:t xml:space="preserve">四、可推导的性质与不可越过的边界</w:t>
      </w:r>
    </w:p>
    <w:bookmarkStart w:id="58" w:name="语义信息的决策价值"/>
    <w:p>
      <w:pPr>
        <w:pStyle w:val="Heading3"/>
      </w:pPr>
      <w:r>
        <w:t xml:space="preserve">1. 语义信息的决策价值</w:t>
      </w:r>
    </w:p>
    <w:p>
      <w:pPr>
        <w:pStyle w:val="FirstParagraph"/>
      </w:pPr>
      <w:r>
        <w:t xml:space="preserve">固定当前几何历史</w:t>
      </w:r>
      <w:r>
        <w:t xml:space="preserve"> </w:t>
      </w:r>
      <m:oMath>
        <m:r>
          <m:t>G</m:t>
        </m:r>
      </m:oMath>
      <w:r>
        <w:t xml:space="preserve">、相同可行行动集</w:t>
      </w:r>
      <w:r>
        <w:t xml:space="preserve"> </w:t>
      </w:r>
      <m:oMath>
        <m:r>
          <m:rPr>
            <m:sty m:val="p"/>
            <m:scr m:val="script"/>
          </m:rPr>
          <m:t>A</m:t>
        </m:r>
      </m:oMath>
      <w:r>
        <w:t xml:space="preserve"> </w:t>
      </w:r>
      <w:r>
        <w:t xml:space="preserve">和包含运动成本的效用</w:t>
      </w:r>
      <w:r>
        <w:t xml:space="preserve"> </w:t>
      </w:r>
      <m:oMath>
        <m:r>
          <m:t>u</m:t>
        </m:r>
        <m:d>
          <m:dPr>
            <m:begChr m:val="("/>
            <m:endChr m:val=")"/>
            <m:sepChr m:val=""/>
            <m:grow/>
          </m:dPr>
          <m:e>
            <m:r>
              <m:t>a</m:t>
            </m:r>
            <m:r>
              <m:rPr>
                <m:sty m:val="p"/>
              </m:rPr>
              <m:t>,</m:t>
            </m:r>
            <m:r>
              <m:t>H</m:t>
            </m:r>
          </m:e>
        </m:d>
      </m:oMath>
      <w:r>
        <w:t xml:space="preserve">。如果语义</w:t>
      </w:r>
      <w:r>
        <w:t xml:space="preserve"> </w:t>
      </w:r>
      <m:oMath>
        <m:r>
          <m:t>Z</m:t>
        </m:r>
      </m:oMath>
      <w:r>
        <w:t xml:space="preserve"> </w:t>
      </w:r>
      <w:r>
        <w:t xml:space="preserve">的获取没有额外成本，且有语义策略可以忽略它，则</w:t>
      </w:r>
    </w:p>
    <w:p>
      <w:pPr>
        <w:pStyle w:val="BodyText"/>
      </w:pPr>
      <m:oMathPara>
        <m:oMathParaPr>
          <m:jc m:val="center"/>
        </m:oMathParaPr>
        <m:oMath>
          <m:sSub>
            <m:e>
              <m:r>
                <m:rPr>
                  <m:sty m:val="p"/>
                  <m:scr m:val="double-struck"/>
                </m:rPr>
                <m:t>E</m:t>
              </m:r>
            </m:e>
            <m:sub>
              <m:r>
                <m:t>Z</m:t>
              </m:r>
            </m:sub>
          </m:sSub>
          <m:r>
            <m:t>​</m:t>
          </m:r>
          <m:d>
            <m:dPr>
              <m:begChr m:val="["/>
              <m:endChr m:val="]"/>
              <m:sepChr m:val=""/>
              <m:grow/>
            </m:dPr>
            <m:e>
              <m:limLow>
                <m:e>
                  <m:r>
                    <m:rPr>
                      <m:sty m:val="p"/>
                    </m:rPr>
                    <m:t>max</m:t>
                  </m:r>
                </m:e>
                <m:lim>
                  <m:r>
                    <m:t>a</m:t>
                  </m:r>
                  <m:r>
                    <m:rPr>
                      <m:sty m:val="p"/>
                    </m:rPr>
                    <m:t>∈</m:t>
                  </m:r>
                  <m:r>
                    <m:rPr>
                      <m:sty m:val="p"/>
                      <m:scr m:val="script"/>
                    </m:rPr>
                    <m:t>A</m:t>
                  </m:r>
                </m:lim>
              </m:limLow>
              <m:r>
                <m:rPr>
                  <m:sty m:val="p"/>
                  <m:scr m:val="double-struck"/>
                </m:rPr>
                <m:t>E</m:t>
              </m:r>
              <m:d>
                <m:dPr>
                  <m:begChr m:val="["/>
                  <m:endChr m:val="]"/>
                  <m:sepChr m:val=""/>
                  <m:grow/>
                </m:dPr>
                <m:e>
                  <m:r>
                    <m:t>u</m:t>
                  </m:r>
                  <m:d>
                    <m:dPr>
                      <m:begChr m:val="("/>
                      <m:endChr m:val=")"/>
                      <m:sepChr m:val=""/>
                      <m:grow/>
                    </m:dPr>
                    <m:e>
                      <m:r>
                        <m:t>a</m:t>
                      </m:r>
                      <m:r>
                        <m:rPr>
                          <m:sty m:val="p"/>
                        </m:rPr>
                        <m:t>,</m:t>
                      </m:r>
                      <m:r>
                        <m:t>H</m:t>
                      </m:r>
                    </m:e>
                  </m:d>
                  <m:r>
                    <m:rPr>
                      <m:sty m:val="p"/>
                    </m:rPr>
                    <m:t>∣</m:t>
                  </m:r>
                  <m:r>
                    <m:t>G</m:t>
                  </m:r>
                  <m:r>
                    <m:rPr>
                      <m:sty m:val="p"/>
                    </m:rPr>
                    <m:t>,</m:t>
                  </m:r>
                  <m:r>
                    <m:t>Z</m:t>
                  </m:r>
                </m:e>
              </m:d>
            </m:e>
          </m:d>
          <m:r>
            <m:rPr>
              <m:sty m:val="p"/>
            </m:rPr>
            <m:t>≥</m:t>
          </m:r>
          <m:limLow>
            <m:e>
              <m:r>
                <m:rPr>
                  <m:sty m:val="p"/>
                </m:rPr>
                <m:t>max</m:t>
              </m:r>
            </m:e>
            <m:lim>
              <m:r>
                <m:t>a</m:t>
              </m:r>
              <m:r>
                <m:rPr>
                  <m:sty m:val="p"/>
                </m:rPr>
                <m:t>∈</m:t>
              </m:r>
              <m:r>
                <m:rPr>
                  <m:sty m:val="p"/>
                  <m:scr m:val="script"/>
                </m:rPr>
                <m:t>A</m:t>
              </m:r>
            </m:lim>
          </m:limLow>
          <m:r>
            <m:rPr>
              <m:sty m:val="p"/>
              <m:scr m:val="double-struck"/>
            </m:rPr>
            <m:t>E</m:t>
          </m:r>
          <m:d>
            <m:dPr>
              <m:begChr m:val="["/>
              <m:endChr m:val="]"/>
              <m:sepChr m:val=""/>
              <m:grow/>
            </m:dPr>
            <m:e>
              <m:r>
                <m:t>u</m:t>
              </m:r>
              <m:d>
                <m:dPr>
                  <m:begChr m:val="("/>
                  <m:endChr m:val=")"/>
                  <m:sepChr m:val=""/>
                  <m:grow/>
                </m:dPr>
                <m:e>
                  <m:r>
                    <m:t>a</m:t>
                  </m:r>
                  <m:r>
                    <m:rPr>
                      <m:sty m:val="p"/>
                    </m:rPr>
                    <m:t>,</m:t>
                  </m:r>
                  <m:r>
                    <m:t>H</m:t>
                  </m:r>
                </m:e>
              </m:d>
              <m:r>
                <m:rPr>
                  <m:sty m:val="p"/>
                </m:rPr>
                <m:t>∣</m:t>
              </m:r>
              <m:r>
                <m:t>G</m:t>
              </m:r>
            </m:e>
          </m:d>
          <m:r>
            <m:rPr>
              <m:sty m:val="p"/>
            </m:rPr>
            <m:t>.</m:t>
          </m:r>
        </m:oMath>
      </m:oMathPara>
    </w:p>
    <w:p>
      <w:pPr>
        <w:pStyle w:val="FirstParagraph"/>
      </w:pPr>
      <w:r>
        <w:t xml:space="preserve">证明只需让左侧对每个</w:t>
      </w:r>
      <w:r>
        <w:t xml:space="preserve"> </w:t>
      </w:r>
      <m:oMath>
        <m:r>
          <m:t>Z</m:t>
        </m:r>
      </m:oMath>
      <w:r>
        <w:t xml:space="preserve"> </w:t>
      </w:r>
      <w:r>
        <w:t xml:space="preserve">都允许选择右侧的最优固定动作，再使用全期望公式。只有语义有正概率改变最优动作并改善真实效用时，才有严格增量。错误模型、近似求解和推理开销可使实现退化；若语义来自 RGB 的确定函数，它相对完整 RGB 不创造额外物理信息，比较对象应是不同信息表征的有限计算规划器。</w:t>
      </w:r>
    </w:p>
    <w:p>
      <w:pPr>
        <w:pStyle w:val="BodyText"/>
      </w:pPr>
      <w:r>
        <w:t xml:space="preserve">一个便于控制实验的两对象模型中，高／低隐藏表面积为</w:t>
      </w:r>
      <w:r>
        <w:t xml:space="preserve"> </w:t>
      </w:r>
      <m:oMath>
        <m:sSub>
          <m:e>
            <m:r>
              <m:t>A</m:t>
            </m:r>
          </m:e>
          <m:sub>
            <m:r>
              <m:t>H</m:t>
            </m:r>
          </m:sub>
        </m:sSub>
        <m:r>
          <m:rPr>
            <m:sty m:val="p"/>
          </m:rPr>
          <m:t>,</m:t>
        </m:r>
        <m:sSub>
          <m:e>
            <m:r>
              <m:t>A</m:t>
            </m:r>
          </m:e>
          <m:sub>
            <m:r>
              <m:t>L</m:t>
            </m:r>
          </m:sub>
        </m:sSub>
      </m:oMath>
      <w:r>
        <w:t xml:space="preserve">，预算只允许检查一个，语义判断正确概率为</w:t>
      </w:r>
      <w:r>
        <w:t xml:space="preserve"> </w:t>
      </w:r>
      <m:oMath>
        <m:r>
          <m:t>p</m:t>
        </m:r>
      </m:oMath>
      <w:r>
        <w:t xml:space="preserve">，额外成本为</w:t>
      </w:r>
      <w:r>
        <w:t xml:space="preserve"> </w:t>
      </w:r>
      <m:oMath>
        <m:r>
          <m:t>c</m:t>
        </m:r>
      </m:oMath>
      <w:r>
        <w:t xml:space="preserve">。相对对称几何先验的期望优势为</w:t>
      </w:r>
    </w:p>
    <w:p>
      <w:pPr>
        <w:pStyle w:val="BodyText"/>
      </w:pPr>
      <m:oMathPara>
        <m:oMathParaPr>
          <m:jc m:val="center"/>
        </m:oMathParaPr>
        <m:oMath>
          <m:r>
            <m:t>Δ</m:t>
          </m:r>
          <m:r>
            <m:t>V</m:t>
          </m:r>
          <m:r>
            <m:rPr>
              <m:sty m:val="p"/>
            </m:rPr>
            <m:t>=</m:t>
          </m:r>
          <m:d>
            <m:dPr>
              <m:begChr m:val="("/>
              <m:endChr m:val=")"/>
              <m:sepChr m:val=""/>
              <m:grow/>
            </m:dPr>
            <m:e>
              <m:r>
                <m:t>p</m:t>
              </m:r>
              <m:r>
                <m:rPr>
                  <m:sty m:val="p"/>
                </m:rPr>
                <m:t>−</m:t>
              </m:r>
              <m:f>
                <m:fPr>
                  <m:type m:val="lin"/>
                </m:fPr>
                <m:num>
                  <m:r>
                    <m:t>1</m:t>
                  </m:r>
                </m:num>
                <m:den>
                  <m:r>
                    <m:t>2</m:t>
                  </m:r>
                </m:den>
              </m:f>
            </m:e>
          </m:d>
          <m:d>
            <m:dPr>
              <m:begChr m:val="("/>
              <m:endChr m:val=")"/>
              <m:sepChr m:val=""/>
              <m:grow/>
            </m:dPr>
            <m:e>
              <m:sSub>
                <m:e>
                  <m:r>
                    <m:t>A</m:t>
                  </m:r>
                </m:e>
                <m:sub>
                  <m:r>
                    <m:t>H</m:t>
                  </m:r>
                </m:sub>
              </m:sSub>
              <m:r>
                <m:rPr>
                  <m:sty m:val="p"/>
                </m:rPr>
                <m:t>−</m:t>
              </m:r>
              <m:sSub>
                <m:e>
                  <m:r>
                    <m:t>A</m:t>
                  </m:r>
                </m:e>
                <m:sub>
                  <m:r>
                    <m:t>L</m:t>
                  </m:r>
                </m:sub>
              </m:sSub>
            </m:e>
          </m:d>
          <m:r>
            <m:rPr>
              <m:sty m:val="p"/>
            </m:rPr>
            <m:t>−</m:t>
          </m:r>
          <m:r>
            <m:t>c</m:t>
          </m:r>
          <m:r>
            <m:rPr>
              <m:sty m:val="p"/>
            </m:rPr>
            <m:t>.</m:t>
          </m:r>
        </m:oMath>
      </m:oMathPara>
    </w:p>
    <w:p>
      <w:pPr>
        <w:pStyle w:val="FirstParagraph"/>
      </w:pPr>
      <w:r>
        <w:t xml:space="preserve">这给出了场景设计的因果变量：几何歧义、隐藏面积差、类别可靠性与绕行成本。它不是对真实仓库成绩的预测公式，却能说明为什么应该同时保留无歧义、无类别关联、错标签和低绕行成本条件。</w:t>
      </w:r>
    </w:p>
    <w:bookmarkEnd w:id="58"/>
    <w:bookmarkStart w:id="61" w:name="冻结预测下的去重面积代理"/>
    <w:p>
      <w:pPr>
        <w:pStyle w:val="Heading3"/>
      </w:pPr>
      <w:r>
        <w:t xml:space="preserve">2. 冻结预测下的去重面积代理</w:t>
      </w:r>
    </w:p>
    <w:p>
      <w:pPr>
        <w:pStyle w:val="FirstParagraph"/>
      </w:pPr>
      <w:r>
        <w:t xml:space="preserve">在一次规划内固定候选、形状信念与不重叠面元。对面元</w:t>
      </w:r>
      <w:r>
        <w:t xml:space="preserve"> </w:t>
      </w:r>
      <m:oMath>
        <m:r>
          <m:t>j</m:t>
        </m:r>
      </m:oMath>
      <w:r>
        <w:t xml:space="preserve"> </w:t>
      </w:r>
      <w:r>
        <w:t xml:space="preserve">的非负面积</w:t>
      </w:r>
      <w:r>
        <w:t xml:space="preserve"> </w:t>
      </w:r>
      <m:oMath>
        <m:sSub>
          <m:e>
            <m:r>
              <m:t>a</m:t>
            </m:r>
          </m:e>
          <m:sub>
            <m:r>
              <m:t>j</m:t>
            </m:r>
            <m:r>
              <m:rPr>
                <m:sty m:val="p"/>
              </m:rPr>
              <m:t>,</m:t>
            </m:r>
            <m:r>
              <m:t>H</m:t>
            </m:r>
          </m:sub>
        </m:sSub>
      </m:oMath>
      <w:r>
        <w:t xml:space="preserve">，令</w:t>
      </w:r>
      <w:r>
        <w:t xml:space="preserve"> </w:t>
      </w:r>
      <m:oMath>
        <m:sSub>
          <m:e>
            <m:r>
              <m:t>q</m:t>
            </m:r>
          </m:e>
          <m:sub>
            <m:r>
              <m:t>j</m:t>
            </m:r>
            <m:r>
              <m:rPr>
                <m:sty m:val="p"/>
              </m:rPr>
              <m:t>,</m:t>
            </m:r>
            <m:r>
              <m:t>H</m:t>
            </m:r>
          </m:sub>
        </m:sSub>
        <m:d>
          <m:dPr>
            <m:begChr m:val="("/>
            <m:endChr m:val=")"/>
            <m:sepChr m:val=""/>
            <m:grow/>
          </m:dPr>
          <m:e>
            <m:r>
              <m:t>v</m:t>
            </m:r>
          </m:e>
        </m:d>
        <m:r>
          <m:rPr>
            <m:sty m:val="p"/>
          </m:rPr>
          <m:t>∈</m:t>
        </m:r>
        <m:d>
          <m:dPr>
            <m:begChr m:val="["/>
            <m:endChr m:val="]"/>
            <m:sepChr m:val=""/>
            <m:grow/>
          </m:dPr>
          <m:e>
            <m:r>
              <m:t>0</m:t>
            </m:r>
            <m:r>
              <m:rPr>
                <m:sty m:val="p"/>
              </m:rPr>
              <m:t>,</m:t>
            </m:r>
            <m:r>
              <m:t>1</m:t>
            </m:r>
          </m:e>
        </m:d>
      </m:oMath>
      <w:r>
        <w:t xml:space="preserve"> </w:t>
      </w:r>
      <w:r>
        <w:t xml:space="preserve">表示候选视点的有效观察程度，采用</w:t>
      </w:r>
    </w:p>
    <w:p>
      <w:pPr>
        <w:pStyle w:val="BodyText"/>
      </w:pPr>
      <m:oMathPara>
        <m:oMathParaPr>
          <m:jc m:val="center"/>
        </m:oMathParaPr>
        <m:oMath>
          <m:sSub>
            <m:e>
              <m:r>
                <m:t>F</m:t>
              </m:r>
            </m:e>
            <m:sub>
              <m:r>
                <m:t>t</m:t>
              </m:r>
            </m:sub>
          </m:sSub>
          <m:d>
            <m:dPr>
              <m:begChr m:val="("/>
              <m:endChr m:val=")"/>
              <m:sepChr m:val=""/>
              <m:grow/>
            </m:dPr>
            <m:e>
              <m:r>
                <m:t>S</m:t>
              </m:r>
            </m:e>
          </m:d>
          <m:r>
            <m:rPr>
              <m:sty m:val="p"/>
            </m:rPr>
            <m:t>=</m:t>
          </m:r>
          <m:nary>
            <m:naryPr>
              <m:chr m:val="∑"/>
              <m:limLoc m:val="undOvr"/>
              <m:subHide m:val="off"/>
              <m:supHide m:val="on"/>
            </m:naryPr>
            <m:sub>
              <m:r>
                <m:t>H</m:t>
              </m:r>
            </m:sub>
            <m:sup>
              <m:r>
                <m:t>​</m:t>
              </m:r>
            </m:sup>
            <m:e>
              <m:sSub>
                <m:e>
                  <m:acc>
                    <m:accPr>
                      <m:chr m:val="̂"/>
                    </m:accPr>
                    <m:e>
                      <m:r>
                        <m:t>b</m:t>
                      </m:r>
                    </m:e>
                  </m:acc>
                </m:e>
                <m:sub>
                  <m:r>
                    <m:t>t</m:t>
                  </m:r>
                </m:sub>
              </m:sSub>
            </m:e>
          </m:nary>
          <m:d>
            <m:dPr>
              <m:begChr m:val="("/>
              <m:endChr m:val=")"/>
              <m:sepChr m:val=""/>
              <m:grow/>
            </m:dPr>
            <m:e>
              <m:r>
                <m:t>H</m:t>
              </m:r>
            </m:e>
          </m:d>
          <m:nary>
            <m:naryPr>
              <m:chr m:val="∑"/>
              <m:limLoc m:val="undOvr"/>
              <m:subHide m:val="off"/>
              <m:supHide m:val="on"/>
            </m:naryPr>
            <m:sub>
              <m:r>
                <m:t>j</m:t>
              </m:r>
            </m:sub>
            <m:sup>
              <m:r>
                <m:t>​</m:t>
              </m:r>
            </m:sup>
            <m:e>
              <m:sSub>
                <m:e>
                  <m:r>
                    <m:t>a</m:t>
                  </m:r>
                </m:e>
                <m:sub>
                  <m:r>
                    <m:t>j</m:t>
                  </m:r>
                  <m:r>
                    <m:rPr>
                      <m:sty m:val="p"/>
                    </m:rPr>
                    <m:t>,</m:t>
                  </m:r>
                  <m:r>
                    <m:t>H</m:t>
                  </m:r>
                </m:sub>
              </m:sSub>
            </m:e>
          </m:nary>
          <m:limLow>
            <m:e>
              <m:r>
                <m:rPr>
                  <m:sty m:val="p"/>
                </m:rPr>
                <m:t>max</m:t>
              </m:r>
            </m:e>
            <m:lim>
              <m:r>
                <m:t>v</m:t>
              </m:r>
              <m:r>
                <m:rPr>
                  <m:sty m:val="p"/>
                </m:rPr>
                <m:t>∈</m:t>
              </m:r>
              <m:r>
                <m:t>S</m:t>
              </m:r>
            </m:lim>
          </m:limLow>
          <m:sSub>
            <m:e>
              <m:r>
                <m:t>q</m:t>
              </m:r>
            </m:e>
            <m:sub>
              <m:r>
                <m:t>j</m:t>
              </m:r>
              <m:r>
                <m:rPr>
                  <m:sty m:val="p"/>
                </m:rPr>
                <m:t>,</m:t>
              </m:r>
              <m:r>
                <m:t>H</m:t>
              </m:r>
            </m:sub>
          </m:sSub>
          <m:d>
            <m:dPr>
              <m:begChr m:val="("/>
              <m:endChr m:val=")"/>
              <m:sepChr m:val=""/>
              <m:grow/>
            </m:dPr>
            <m:e>
              <m:r>
                <m:t>v</m:t>
              </m:r>
            </m:e>
          </m:d>
          <m:r>
            <m:rPr>
              <m:sty m:val="p"/>
            </m:rPr>
            <m:t>.</m:t>
          </m:r>
        </m:oMath>
      </m:oMathPara>
    </w:p>
    <w:p>
      <w:pPr>
        <w:pStyle w:val="FirstParagraph"/>
      </w:pPr>
      <w:r>
        <w:t xml:space="preserve">单面元边际为</w:t>
      </w:r>
      <w:r>
        <w:t xml:space="preserve"> </w:t>
      </w:r>
      <m:oMath>
        <m:r>
          <m:rPr>
            <m:sty m:val="p"/>
          </m:rPr>
          <m:t>max</m:t>
        </m:r>
        <m:d>
          <m:dPr>
            <m:begChr m:val="("/>
            <m:endChr m:val=")"/>
            <m:sepChr m:val=""/>
            <m:grow/>
          </m:dPr>
          <m:e>
            <m:r>
              <m:t>0</m:t>
            </m:r>
            <m:r>
              <m:rPr>
                <m:sty m:val="p"/>
              </m:rPr>
              <m:t>,</m:t>
            </m:r>
            <m:r>
              <m:t>q</m:t>
            </m:r>
            <m:d>
              <m:dPr>
                <m:begChr m:val="("/>
                <m:endChr m:val=")"/>
                <m:sepChr m:val=""/>
                <m:grow/>
              </m:dPr>
              <m:e>
                <m:r>
                  <m:t>v</m:t>
                </m:r>
              </m:e>
            </m:d>
            <m:r>
              <m:rPr>
                <m:sty m:val="p"/>
              </m:rPr>
              <m:t>−</m:t>
            </m:r>
            <m:sSub>
              <m:e>
                <m:r>
                  <m:rPr>
                    <m:sty m:val="p"/>
                  </m:rPr>
                  <m:t>max</m:t>
                </m:r>
              </m:e>
              <m:sub>
                <m:r>
                  <m:t>u</m:t>
                </m:r>
                <m:r>
                  <m:rPr>
                    <m:sty m:val="p"/>
                  </m:rPr>
                  <m:t>∈</m:t>
                </m:r>
                <m:r>
                  <m:t>S</m:t>
                </m:r>
              </m:sub>
            </m:sSub>
            <m:r>
              <m:t>q</m:t>
            </m:r>
            <m:d>
              <m:dPr>
                <m:begChr m:val="("/>
                <m:endChr m:val=")"/>
                <m:sepChr m:val=""/>
                <m:grow/>
              </m:dPr>
              <m:e>
                <m:r>
                  <m:t>u</m:t>
                </m:r>
              </m:e>
            </m:d>
          </m:e>
        </m:d>
      </m:oMath>
      <w:r>
        <w:t xml:space="preserve">；集合扩大时边际不增，因此非负加权和单调且次模。这个形式不要求把相关帧当作独立概率事件。它支持固定候选收益去重，却不给当前含路径成本、有限束搜索和在线信念更新的完整算法提供</w:t>
      </w:r>
      <w:r>
        <w:t xml:space="preserve"> </w:t>
      </w:r>
      <m:oMath>
        <m:r>
          <m:t>1</m:t>
        </m:r>
        <m:r>
          <m:rPr>
            <m:sty m:val="p"/>
          </m:rPr>
          <m:t>−</m:t>
        </m:r>
        <m:r>
          <m:t>1</m:t>
        </m:r>
        <m:r>
          <m:rPr>
            <m:sty m:val="p"/>
          </m:rPr>
          <m:t>/</m:t>
        </m:r>
        <m:r>
          <m:t>e</m:t>
        </m:r>
      </m:oMath>
      <w:r>
        <w:t xml:space="preserve"> </w:t>
      </w:r>
      <w:r>
        <w:t xml:space="preserve">保证。</w:t>
      </w:r>
      <w:r>
        <w:rPr>
          <w:rStyle w:val="FootnoteReference"/>
        </w:rPr>
        <w:footnoteReference w:id="59"/>
      </w:r>
    </w:p>
    <w:p>
      <w:pPr>
        <w:pStyle w:val="BodyText"/>
      </w:pPr>
      <w:r>
        <w:t xml:space="preserve">外部乘积指标也不一般次模：若动作</w:t>
      </w:r>
      <w:r>
        <w:t xml:space="preserve"> </w:t>
      </w:r>
      <m:oMath>
        <m:r>
          <m:t>a</m:t>
        </m:r>
      </m:oMath>
      <w:r>
        <w:t xml:space="preserve"> </w:t>
      </w:r>
      <w:r>
        <w:t xml:space="preserve">把覆盖从 0.2 增到 0.3，动作</w:t>
      </w:r>
      <w:r>
        <w:t xml:space="preserve"> </w:t>
      </w:r>
      <m:oMath>
        <m:r>
          <m:t>b</m:t>
        </m:r>
      </m:oMath>
      <w:r>
        <w:t xml:space="preserve"> </w:t>
      </w:r>
      <w:r>
        <w:t xml:space="preserve">把质量从 0.5 增到 0.7，</w:t>
      </w:r>
      <m:oMath>
        <m:r>
          <m:t>b</m:t>
        </m:r>
      </m:oMath>
      <w:r>
        <w:t xml:space="preserve"> </w:t>
      </w:r>
      <w:r>
        <w:t xml:space="preserve">的乘积增量会从 0.04 增至 0.06，违反边际递减。TSDF 融合坏观测还可能降低 F1；因此外部指标应保留真实负变化，不能套用在线正增量账本的单调性。</w:t>
      </w:r>
    </w:p>
    <w:bookmarkEnd w:id="61"/>
    <w:bookmarkStart w:id="65" w:name="覆盖保留与补看开销"/>
    <w:p>
      <w:pPr>
        <w:pStyle w:val="Heading3"/>
      </w:pPr>
      <w:r>
        <w:t xml:space="preserve">3. 覆盖保留与补看开销</w:t>
      </w:r>
    </w:p>
    <w:p>
      <w:pPr>
        <w:pStyle w:val="FirstParagraph"/>
      </w:pPr>
      <w:r>
        <w:t xml:space="preserve">若当前时刻为</w:t>
      </w:r>
      <w:r>
        <w:t xml:space="preserve"> </w:t>
      </w:r>
      <m:oMath>
        <m:r>
          <m:t>t</m:t>
        </m:r>
      </m:oMath>
      <w:r>
        <w:t xml:space="preserve">，已生成的覆盖保留路线有可靠执行成本上界</w:t>
      </w:r>
      <w:r>
        <w:t xml:space="preserve"> </w:t>
      </w:r>
      <m:oMath>
        <m:sSub>
          <m:e>
            <m:r>
              <m:t>L</m:t>
            </m:r>
          </m:e>
          <m:sub>
            <m:r>
              <m:t>c</m:t>
            </m:r>
          </m:sub>
        </m:sSub>
      </m:oMath>
      <w:r>
        <w:t xml:space="preserve">，补看及返回原路线起点的总代价上界为</w:t>
      </w:r>
      <w:r>
        <w:t xml:space="preserve"> </w:t>
      </w:r>
      <m:oMath>
        <m:sSub>
          <m:e>
            <m:r>
              <m:t>L</m:t>
            </m:r>
          </m:e>
          <m:sub>
            <m:r>
              <m:t>s</m:t>
            </m:r>
          </m:sub>
        </m:sSub>
      </m:oMath>
      <w:r>
        <w:t xml:space="preserve">，则</w:t>
      </w:r>
    </w:p>
    <w:p>
      <w:pPr>
        <w:pStyle w:val="BodyText"/>
      </w:pPr>
      <m:oMathPara>
        <m:oMathParaPr>
          <m:jc m:val="center"/>
        </m:oMathParaPr>
        <m:oMath>
          <m:r>
            <m:t>t</m:t>
          </m:r>
          <m:r>
            <m:rPr>
              <m:sty m:val="p"/>
            </m:rPr>
            <m:t>+</m:t>
          </m:r>
          <m:sSub>
            <m:e>
              <m:r>
                <m:t>L</m:t>
              </m:r>
            </m:e>
            <m:sub>
              <m:r>
                <m:t>s</m:t>
              </m:r>
            </m:sub>
          </m:sSub>
          <m:r>
            <m:rPr>
              <m:sty m:val="p"/>
            </m:rPr>
            <m:t>+</m:t>
          </m:r>
          <m:sSub>
            <m:e>
              <m:r>
                <m:t>L</m:t>
              </m:r>
            </m:e>
            <m:sub>
              <m:r>
                <m:t>c</m:t>
              </m:r>
            </m:sub>
          </m:sSub>
          <m:r>
            <m:rPr>
              <m:sty m:val="p"/>
            </m:rPr>
            <m:t>≤</m:t>
          </m:r>
          <m:r>
            <m:t>B</m:t>
          </m:r>
        </m:oMath>
      </m:oMathPara>
    </w:p>
    <w:p>
      <w:pPr>
        <w:pStyle w:val="FirstParagraph"/>
      </w:pPr>
      <w:r>
        <w:t xml:space="preserve">在静态环境、路径和可见性条件成立时，足以保证仍完成该保留路线承诺的覆盖集合。这是拼接路线的可行性结论，不能推断未知环境基线未来所有覆盖都被保留。如果成本和可见性仅来自当前估计地图，应明确称为名义约束。</w:t>
      </w:r>
    </w:p>
    <w:p>
      <w:pPr>
        <w:pStyle w:val="BodyText"/>
      </w:pPr>
      <w:r>
        <w:t xml:space="preserve">若严格保留覆盖基线的动作顺序，只插入总时长</w:t>
      </w:r>
      <w:r>
        <w:t xml:space="preserve"> </w:t>
      </w:r>
      <m:oMath>
        <m:r>
          <m:t>Δ</m:t>
        </m:r>
      </m:oMath>
      <w:r>
        <w:t xml:space="preserve"> </w:t>
      </w:r>
      <w:r>
        <w:t xml:space="preserve">的闭合补看段，则覆盖 AUC 的损失至多为</w:t>
      </w:r>
      <w:r>
        <w:t xml:space="preserve"> </w:t>
      </w:r>
      <m:oMath>
        <m:r>
          <m:t>Δ</m:t>
        </m:r>
        <m:r>
          <m:rPr>
            <m:sty m:val="p"/>
          </m:rPr>
          <m:t>/</m:t>
        </m:r>
        <m:r>
          <m:t>B</m:t>
        </m:r>
      </m:oMath>
      <w:r>
        <w:t xml:space="preserve">，因为最坏情况下基线覆盖曲线整体被延迟</w:t>
      </w:r>
      <w:r>
        <w:t xml:space="preserve"> </w:t>
      </w:r>
      <m:oMath>
        <m:r>
          <m:t>Δ</m:t>
        </m:r>
      </m:oMath>
      <w:r>
        <w:t xml:space="preserve">。这个界不适用于任意重规划，也不保证终点覆盖只损失同样百分比：少走最后一步门口就可能丢失整个房间。完整证明、反例及适用条件见理论文档。</w:t>
      </w:r>
      <w:r>
        <w:rPr>
          <w:rStyle w:val="FootnoteReference"/>
        </w:rPr>
        <w:footnoteReference w:id="62"/>
      </w:r>
    </w:p>
    <w:bookmarkEnd w:id="65"/>
    <w:bookmarkStart w:id="67" w:name="实测证据与风险的有限保证"/>
    <w:p>
      <w:pPr>
        <w:pStyle w:val="Heading3"/>
      </w:pPr>
      <w:r>
        <w:t xml:space="preserve">4. 实测证据与风险的有限保证</w:t>
      </w:r>
    </w:p>
    <w:p>
      <w:pPr>
        <w:pStyle w:val="FirstParagraph"/>
      </w:pPr>
      <w:r>
        <w:t xml:space="preserve">稳定面元身份的证据水平若按</w:t>
      </w:r>
      <w:r>
        <w:t xml:space="preserve"> </w:t>
      </w:r>
      <m:oMath>
        <m:sSub>
          <m:e>
            <m:r>
              <m:t>e</m:t>
            </m:r>
          </m:e>
          <m:sub>
            <m:r>
              <m:t>j</m:t>
            </m:r>
            <m:r>
              <m:rPr>
                <m:sty m:val="p"/>
              </m:rPr>
              <m:t>,</m:t>
            </m:r>
            <m:r>
              <m:t>t</m:t>
            </m:r>
            <m:r>
              <m:rPr>
                <m:sty m:val="p"/>
              </m:rPr>
              <m:t>+</m:t>
            </m:r>
            <m:r>
              <m:t>1</m:t>
            </m:r>
          </m:sub>
        </m:sSub>
        <m:r>
          <m:rPr>
            <m:sty m:val="p"/>
          </m:rPr>
          <m:t>=</m:t>
        </m:r>
        <m:r>
          <m:rPr>
            <m:sty m:val="p"/>
          </m:rPr>
          <m:t>max</m:t>
        </m:r>
        <m:d>
          <m:dPr>
            <m:begChr m:val="("/>
            <m:endChr m:val=")"/>
            <m:sepChr m:val=""/>
            <m:grow/>
          </m:dPr>
          <m:e>
            <m:sSub>
              <m:e>
                <m:r>
                  <m:t>e</m:t>
                </m:r>
              </m:e>
              <m:sub>
                <m:r>
                  <m:t>j</m:t>
                </m:r>
                <m:r>
                  <m:rPr>
                    <m:sty m:val="p"/>
                  </m:rPr>
                  <m:t>,</m:t>
                </m:r>
                <m:r>
                  <m:t>t</m:t>
                </m:r>
              </m:sub>
            </m:sSub>
            <m:r>
              <m:rPr>
                <m:sty m:val="p"/>
              </m:rPr>
              <m:t>,</m:t>
            </m:r>
            <m:sSub>
              <m:e>
                <m:acc>
                  <m:accPr>
                    <m:chr m:val="̃"/>
                  </m:accPr>
                  <m:e>
                    <m:r>
                      <m:t>e</m:t>
                    </m:r>
                  </m:e>
                </m:acc>
              </m:e>
              <m:sub>
                <m:r>
                  <m:t>j</m:t>
                </m:r>
                <m:r>
                  <m:rPr>
                    <m:sty m:val="p"/>
                  </m:rPr>
                  <m:t>,</m:t>
                </m:r>
                <m:r>
                  <m:t>t</m:t>
                </m:r>
                <m:r>
                  <m:rPr>
                    <m:sty m:val="p"/>
                  </m:rPr>
                  <m:t>+</m:t>
                </m:r>
                <m:r>
                  <m:t>1</m:t>
                </m:r>
              </m:sub>
            </m:sSub>
          </m:e>
        </m:d>
      </m:oMath>
      <w:r>
        <w:t xml:space="preserve"> </w:t>
      </w:r>
      <w:r>
        <w:t xml:space="preserve">更新，则累计收益</w:t>
      </w:r>
      <w:r>
        <w:t xml:space="preserve"> </w:t>
      </w:r>
      <m:oMath>
        <m:nary>
          <m:naryPr>
            <m:chr m:val="∑"/>
            <m:limLoc m:val="undOvr"/>
            <m:subHide m:val="off"/>
            <m:supHide m:val="on"/>
          </m:naryPr>
          <m:sub>
            <m:r>
              <m:t>t</m:t>
            </m:r>
          </m:sub>
          <m:sup>
            <m:r>
              <m:t>​</m:t>
            </m:r>
          </m:sup>
          <m:e>
            <m:nary>
              <m:naryPr>
                <m:chr m:val="∑"/>
                <m:limLoc m:val="undOvr"/>
                <m:subHide m:val="off"/>
                <m:supHide m:val="on"/>
              </m:naryPr>
              <m:sub>
                <m:r>
                  <m:t>j</m:t>
                </m:r>
              </m:sub>
              <m:sup>
                <m:r>
                  <m:t>​</m:t>
                </m:r>
              </m:sup>
              <m:e>
                <m:sSub>
                  <m:e>
                    <m:r>
                      <m:t>a</m:t>
                    </m:r>
                  </m:e>
                  <m:sub>
                    <m:r>
                      <m:t>j</m:t>
                    </m:r>
                  </m:sub>
                </m:sSub>
              </m:e>
            </m:nary>
          </m:e>
        </m:nary>
        <m:d>
          <m:dPr>
            <m:begChr m:val="("/>
            <m:endChr m:val=")"/>
            <m:sepChr m:val=""/>
            <m:grow/>
          </m:dPr>
          <m:e>
            <m:sSub>
              <m:e>
                <m:r>
                  <m:t>e</m:t>
                </m:r>
              </m:e>
              <m:sub>
                <m:r>
                  <m:t>j</m:t>
                </m:r>
                <m:r>
                  <m:rPr>
                    <m:sty m:val="p"/>
                  </m:rPr>
                  <m:t>,</m:t>
                </m:r>
                <m:r>
                  <m:t>t</m:t>
                </m:r>
                <m:r>
                  <m:rPr>
                    <m:sty m:val="p"/>
                  </m:rPr>
                  <m:t>+</m:t>
                </m:r>
                <m:r>
                  <m:t>1</m:t>
                </m:r>
              </m:sub>
            </m:sSub>
            <m:r>
              <m:rPr>
                <m:sty m:val="p"/>
              </m:rPr>
              <m:t>−</m:t>
            </m:r>
            <m:sSub>
              <m:e>
                <m:r>
                  <m:t>e</m:t>
                </m:r>
              </m:e>
              <m:sub>
                <m:r>
                  <m:t>j</m:t>
                </m:r>
                <m:r>
                  <m:rPr>
                    <m:sty m:val="p"/>
                  </m:rPr>
                  <m:t>,</m:t>
                </m:r>
                <m:r>
                  <m:t>t</m:t>
                </m:r>
              </m:sub>
            </m:sSub>
          </m:e>
        </m:d>
      </m:oMath>
      <w:r>
        <w:t xml:space="preserve"> </w:t>
      </w:r>
      <w:r>
        <w:t xml:space="preserve">望远镜相消，不会因同一证据重复出现而重复支付。这个性质约束账本，不保证身份就是稳定物理表面，更不保证真实误差单调下降。</w:t>
      </w:r>
    </w:p>
    <w:p>
      <w:pPr>
        <w:pStyle w:val="BodyText"/>
      </w:pPr>
      <w:r>
        <w:t xml:space="preserve">对路径代价</w:t>
      </w:r>
      <w:r>
        <w:t xml:space="preserve"> </w:t>
      </w:r>
      <m:oMath>
        <m:r>
          <m:t>D</m:t>
        </m:r>
      </m:oMath>
      <w:r>
        <w:t xml:space="preserve">，若使用的是真实条件均值</w:t>
      </w:r>
      <w:r>
        <w:t xml:space="preserve"> </w:t>
      </w:r>
      <m:oMath>
        <m:r>
          <m:t>μ</m:t>
        </m:r>
      </m:oMath>
      <w:r>
        <w:t xml:space="preserve"> </w:t>
      </w:r>
      <w:r>
        <w:t xml:space="preserve">和方差</w:t>
      </w:r>
      <w:r>
        <w:t xml:space="preserve"> </w:t>
      </w:r>
      <m:oMath>
        <m:sSup>
          <m:e>
            <m:r>
              <m:t>σ</m:t>
            </m:r>
          </m:e>
          <m:sup>
            <m:r>
              <m:t>2</m:t>
            </m:r>
          </m:sup>
        </m:sSup>
      </m:oMath>
      <w:r>
        <w:t xml:space="preserve">，则</w:t>
      </w:r>
      <w:r>
        <w:t xml:space="preserve"> </w:t>
      </w:r>
      <m:oMath>
        <m:r>
          <m:t>μ</m:t>
        </m:r>
        <m:r>
          <m:rPr>
            <m:sty m:val="p"/>
          </m:rPr>
          <m:t>+</m:t>
        </m:r>
        <m:rad>
          <m:radPr>
            <m:degHide m:val="on"/>
          </m:radPr>
          <m:deg/>
          <m:e>
            <m:d>
              <m:dPr>
                <m:begChr m:val="("/>
                <m:endChr m:val=")"/>
                <m:sepChr m:val=""/>
                <m:grow/>
              </m:dPr>
              <m:e>
                <m:r>
                  <m:t>1</m:t>
                </m:r>
                <m:r>
                  <m:rPr>
                    <m:sty m:val="p"/>
                  </m:rPr>
                  <m:t>−</m:t>
                </m:r>
                <m:r>
                  <m:t>δ</m:t>
                </m:r>
              </m:e>
            </m:d>
            <m:r>
              <m:rPr>
                <m:sty m:val="p"/>
              </m:rPr>
              <m:t>/</m:t>
            </m:r>
            <m:r>
              <m:t>δ</m:t>
            </m:r>
          </m:e>
        </m:rad>
        <m:r>
          <m:t>σ</m:t>
        </m:r>
        <m:r>
          <m:rPr>
            <m:sty m:val="p"/>
          </m:rPr>
          <m:t>≤</m:t>
        </m:r>
        <m:r>
          <m:t>b</m:t>
        </m:r>
      </m:oMath>
      <w:r>
        <w:t xml:space="preserve"> </w:t>
      </w:r>
      <w:r>
        <w:t xml:space="preserve">可通过单边方差界保证</w:t>
      </w:r>
      <w:r>
        <w:t xml:space="preserve"> </w:t>
      </w:r>
      <m:oMath>
        <m:r>
          <m:t>P</m:t>
        </m:r>
        <m:d>
          <m:dPr>
            <m:begChr m:val="("/>
            <m:endChr m:val=")"/>
            <m:sepChr m:val=""/>
            <m:grow/>
          </m:dPr>
          <m:e>
            <m:r>
              <m:t>D</m:t>
            </m:r>
            <m:r>
              <m:rPr>
                <m:sty m:val="p"/>
              </m:rPr>
              <m:t>≤</m:t>
            </m:r>
            <m:r>
              <m:t>b</m:t>
            </m:r>
          </m:e>
        </m:d>
        <m:r>
          <m:rPr>
            <m:sty m:val="p"/>
          </m:rPr>
          <m:t>≥</m:t>
        </m:r>
        <m:r>
          <m:t>1</m:t>
        </m:r>
        <m:r>
          <m:rPr>
            <m:sty m:val="p"/>
          </m:rPr>
          <m:t>−</m:t>
        </m:r>
        <m:r>
          <m:t>δ</m:t>
        </m:r>
      </m:oMath>
      <w:r>
        <w:t xml:space="preserve">。现有 dropout 成功概率的均值／方差不是这两个代价矩，因此目前不能直接用该式宣称 RPN 安全。多段路径可用失败概率并集界组合风险，无需虚构独立性。</w:t>
      </w:r>
      <w:r>
        <w:rPr>
          <w:rStyle w:val="FootnoteReference"/>
        </w:rPr>
        <w:footnoteReference w:id="66"/>
      </w:r>
    </w:p>
    <w:bookmarkEnd w:id="67"/>
    <w:bookmarkEnd w:id="68"/>
    <w:bookmarkStart w:id="76" w:name="五特定场景与可证伪实验"/>
    <w:p>
      <w:pPr>
        <w:pStyle w:val="Heading2"/>
      </w:pPr>
      <w:r>
        <w:t xml:space="preserve">五、特定场景与可证伪实验</w:t>
      </w:r>
    </w:p>
    <w:bookmarkStart w:id="69" w:name="场景族及真实需求"/>
    <w:p>
      <w:pPr>
        <w:pStyle w:val="Heading3"/>
      </w:pPr>
      <w:r>
        <w:t xml:space="preserve">场景族及真实需求</w:t>
      </w:r>
    </w:p>
    <w:p>
      <w:pPr>
        <w:pStyle w:val="FirstParagraph"/>
      </w:pPr>
      <w:r>
        <w:t xml:space="preserve">主场景采用一条或多条长通道连接多个工作单元，单元中混合平面外轮廓相近、但隐藏结构不同的设备柜、开放储物架与实验台。相机必须适当接近或改变观察方向，才能看到层板、凹槽、内侧面；二维雷达主要提供通行与轮廓。离开工作单元后的回迁成本可以较大，从而检验“经过时完成有价值的观察”的意义。</w:t>
      </w:r>
    </w:p>
    <w:p>
      <w:pPr>
        <w:pStyle w:val="BodyText"/>
      </w:pPr>
      <w:r>
        <w:t xml:space="preserve">要控制的是信息结构，不是预先给完整方法指定正确路线。对象位置、朝向、尺寸、遮挡和部件数量独立随机；类别—隐藏结构关联强度可切换。规划器只接收可见 RGB-D、标签和雷达，不读取生成器的对象中心、房间编号或隐藏类别。生成规则与评分面积在独立实验前固定。</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实验因子</w:t>
            </w:r>
          </w:p>
        </w:tc>
        <w:tc>
          <w:tcPr/>
          <w:p>
            <w:pPr>
              <w:pStyle w:val="Compact"/>
              <w:jc w:val="left"/>
            </w:pPr>
            <w:r>
              <w:t xml:space="preserve">正向条件</w:t>
            </w:r>
          </w:p>
        </w:tc>
        <w:tc>
          <w:tcPr/>
          <w:p>
            <w:pPr>
              <w:pStyle w:val="Compact"/>
              <w:jc w:val="left"/>
            </w:pPr>
            <w:r>
              <w:t xml:space="preserve">必须保留的控制</w:t>
            </w:r>
          </w:p>
        </w:tc>
        <w:tc>
          <w:tcPr/>
          <w:p>
            <w:pPr>
              <w:pStyle w:val="Compact"/>
              <w:jc w:val="left"/>
            </w:pPr>
            <w:r>
              <w:t xml:space="preserve">检验的问题</w:t>
            </w:r>
          </w:p>
        </w:tc>
      </w:tr>
      <w:tr>
        <w:tc>
          <w:tcPr/>
          <w:p>
            <w:pPr>
              <w:pStyle w:val="Compact"/>
              <w:jc w:val="left"/>
            </w:pPr>
            <w:r>
              <w:t xml:space="preserve">初见几何</w:t>
            </w:r>
          </w:p>
        </w:tc>
        <w:tc>
          <w:tcPr/>
          <w:p>
            <w:pPr>
              <w:pStyle w:val="Compact"/>
              <w:jc w:val="left"/>
            </w:pPr>
            <w:r>
              <w:t xml:space="preserve">轮廓相近、内部被遮挡</w:t>
            </w:r>
          </w:p>
        </w:tc>
        <w:tc>
          <w:tcPr/>
          <w:p>
            <w:pPr>
              <w:pStyle w:val="Compact"/>
              <w:jc w:val="left"/>
            </w:pPr>
            <w:r>
              <w:t xml:space="preserve">开放结构可直接看清</w:t>
            </w:r>
          </w:p>
        </w:tc>
        <w:tc>
          <w:tcPr/>
          <w:p>
            <w:pPr>
              <w:pStyle w:val="Compact"/>
              <w:jc w:val="left"/>
            </w:pPr>
            <w:r>
              <w:t xml:space="preserve">语义是否在几何歧义时更有价值</w:t>
            </w:r>
          </w:p>
        </w:tc>
      </w:tr>
      <w:tr>
        <w:tc>
          <w:tcPr/>
          <w:p>
            <w:pPr>
              <w:pStyle w:val="Compact"/>
              <w:jc w:val="left"/>
            </w:pPr>
            <w:r>
              <w:t xml:space="preserve">类别关联</w:t>
            </w:r>
          </w:p>
        </w:tc>
        <w:tc>
          <w:tcPr/>
          <w:p>
            <w:pPr>
              <w:pStyle w:val="Compact"/>
              <w:jc w:val="left"/>
            </w:pPr>
            <w:r>
              <w:t xml:space="preserve">类别预测隐藏部件需求</w:t>
            </w:r>
          </w:p>
        </w:tc>
        <w:tc>
          <w:tcPr/>
          <w:p>
            <w:pPr>
              <w:pStyle w:val="Compact"/>
              <w:jc w:val="left"/>
            </w:pPr>
            <w:r>
              <w:t xml:space="preserve">关联关闭／反转</w:t>
            </w:r>
          </w:p>
        </w:tc>
        <w:tc>
          <w:tcPr/>
          <w:p>
            <w:pPr>
              <w:pStyle w:val="Compact"/>
              <w:jc w:val="left"/>
            </w:pPr>
            <w:r>
              <w:t xml:space="preserve">收益是否依赖真实信息而非类别权重</w:t>
            </w:r>
          </w:p>
        </w:tc>
      </w:tr>
      <w:tr>
        <w:tc>
          <w:tcPr/>
          <w:p>
            <w:pPr>
              <w:pStyle w:val="Compact"/>
              <w:jc w:val="left"/>
            </w:pPr>
            <w:r>
              <w:t xml:space="preserve">执行成本</w:t>
            </w:r>
          </w:p>
        </w:tc>
        <w:tc>
          <w:tcPr/>
          <w:p>
            <w:pPr>
              <w:pStyle w:val="Compact"/>
              <w:jc w:val="left"/>
            </w:pPr>
            <w:r>
              <w:t xml:space="preserve">长通道、回迁昂贵</w:t>
            </w:r>
          </w:p>
        </w:tc>
        <w:tc>
          <w:tcPr/>
          <w:p>
            <w:pPr>
              <w:pStyle w:val="Compact"/>
              <w:jc w:val="left"/>
            </w:pPr>
            <w:r>
              <w:t xml:space="preserve">短通道、低成本</w:t>
            </w:r>
          </w:p>
        </w:tc>
        <w:tc>
          <w:tcPr/>
          <w:p>
            <w:pPr>
              <w:pStyle w:val="Compact"/>
              <w:jc w:val="left"/>
            </w:pPr>
            <w:r>
              <w:t xml:space="preserve">层次顺序是否减少覆盖与检查冲突</w:t>
            </w:r>
          </w:p>
        </w:tc>
      </w:tr>
      <w:tr>
        <w:tc>
          <w:tcPr/>
          <w:p>
            <w:pPr>
              <w:pStyle w:val="Compact"/>
              <w:jc w:val="left"/>
            </w:pPr>
            <w:r>
              <w:t xml:space="preserve">标签质量</w:t>
            </w:r>
          </w:p>
        </w:tc>
        <w:tc>
          <w:tcPr/>
          <w:p>
            <w:pPr>
              <w:pStyle w:val="Compact"/>
              <w:jc w:val="left"/>
            </w:pPr>
            <w:r>
              <w:t xml:space="preserve">可见正确标签</w:t>
            </w:r>
          </w:p>
        </w:tc>
        <w:tc>
          <w:tcPr/>
          <w:p>
            <w:pPr>
              <w:pStyle w:val="Compact"/>
              <w:jc w:val="left"/>
            </w:pPr>
            <w:r>
              <w:t xml:space="preserve">缺失、置换、真实检测误差</w:t>
            </w:r>
          </w:p>
        </w:tc>
        <w:tc>
          <w:tcPr/>
          <w:p>
            <w:pPr>
              <w:pStyle w:val="Compact"/>
              <w:jc w:val="left"/>
            </w:pPr>
            <w:r>
              <w:t xml:space="preserve">语义失效时是否退化可控</w:t>
            </w:r>
          </w:p>
        </w:tc>
      </w:tr>
      <w:tr>
        <w:tc>
          <w:tcPr/>
          <w:p>
            <w:pPr>
              <w:pStyle w:val="Compact"/>
              <w:jc w:val="left"/>
            </w:pPr>
            <w:r>
              <w:t xml:space="preserve">模型失配</w:t>
            </w:r>
          </w:p>
        </w:tc>
        <w:tc>
          <w:tcPr/>
          <w:p>
            <w:pPr>
              <w:pStyle w:val="Compact"/>
              <w:jc w:val="left"/>
            </w:pPr>
            <w:r>
              <w:t xml:space="preserve">部件族与先验一致</w:t>
            </w:r>
          </w:p>
        </w:tc>
        <w:tc>
          <w:tcPr/>
          <w:p>
            <w:pPr>
              <w:pStyle w:val="Compact"/>
              <w:jc w:val="left"/>
            </w:pPr>
            <w:r>
              <w:t xml:space="preserve">开／关柜门、堆满货架、未见尺寸</w:t>
            </w:r>
          </w:p>
        </w:tc>
        <w:tc>
          <w:tcPr/>
          <w:p>
            <w:pPr>
              <w:pStyle w:val="Compact"/>
              <w:jc w:val="left"/>
            </w:pPr>
            <w:r>
              <w:t xml:space="preserve">反馈是否抑制错误补看</w:t>
            </w:r>
          </w:p>
        </w:tc>
      </w:tr>
      <w:tr>
        <w:tc>
          <w:tcPr/>
          <w:p>
            <w:pPr>
              <w:pStyle w:val="Compact"/>
              <w:jc w:val="left"/>
            </w:pPr>
            <w:r>
              <w:t xml:space="preserve">规模</w:t>
            </w:r>
          </w:p>
        </w:tc>
        <w:tc>
          <w:tcPr/>
          <w:p>
            <w:pPr>
              <w:pStyle w:val="Compact"/>
              <w:jc w:val="left"/>
            </w:pPr>
            <w:r>
              <w:t xml:space="preserve">单元数量增加</w:t>
            </w:r>
          </w:p>
        </w:tc>
        <w:tc>
          <w:tcPr/>
          <w:p>
            <w:pPr>
              <w:pStyle w:val="Compact"/>
              <w:jc w:val="left"/>
            </w:pPr>
            <w:r>
              <w:t xml:space="preserve">小型同分布场景</w:t>
            </w:r>
          </w:p>
        </w:tc>
        <w:tc>
          <w:tcPr/>
          <w:p>
            <w:pPr>
              <w:pStyle w:val="Compact"/>
              <w:jc w:val="left"/>
            </w:pPr>
            <w:r>
              <w:t xml:space="preserve">计算与路线收益是否随规模保持</w:t>
            </w:r>
          </w:p>
        </w:tc>
      </w:tr>
    </w:tbl>
    <w:p>
      <w:pPr>
        <w:pStyle w:val="BodyText"/>
      </w:pPr>
      <w:r>
        <w:t xml:space="preserve">程序化 16×12m 场景属于中等规模机制验证，不能直接称工业大尺度实验。扩展规模后还要报告规划延迟、内存和执行时间，而不是只增加地图像素。不同机器人、不同传感器或不同运动自由度的公开数字不能直接拼成一张胜负表。</w:t>
      </w:r>
    </w:p>
    <w:bookmarkEnd w:id="69"/>
    <w:bookmarkStart w:id="75" w:name="机制实验先于完整性能确认"/>
    <w:p>
      <w:pPr>
        <w:pStyle w:val="Heading3"/>
      </w:pPr>
      <w:r>
        <w:t xml:space="preserve">机制实验先于完整性能确认</w:t>
      </w:r>
    </w:p>
    <w:p>
      <w:pPr>
        <w:pStyle w:val="FirstParagraph"/>
      </w:pPr>
      <w:r>
        <w:t xml:space="preserve">第一层实验在相同历史帧下构建完全相同地图与候选，分别使用正确、缺失、置换和二值对象语义评分。对所有候选或预先随机抽取的候选执行相同时间的反事实观测，测量固定参考表面的新增完整率与共同已见表面的误差变化。这能区分“语义改变轨迹”和“语义确实选择了更有价值的观测”。</w:t>
      </w:r>
    </w:p>
    <w:p>
      <w:pPr>
        <w:pStyle w:val="BodyText"/>
      </w:pPr>
      <w:r>
        <w:t xml:space="preserve">第二层进行闭环比较：共享三维后端、机器人轮廓、速度／动作代价、传感器和参数选择预算。候选数量相同不等于总计算预算相同；完整方法额外的形状拟合、校准与覆盖守卫开销应全部计入。除了纯覆盖和强几何路线，还需要与任务需求相同的固定扇区、距离阈值和几何质量 NBV 对照。</w:t>
      </w:r>
    </w:p>
    <w:p>
      <w:pPr>
        <w:pStyle w:val="BodyText"/>
      </w:pPr>
      <w:r>
        <w:t xml:space="preserve">第三层才接官方方法。TARE 是原生地面探索的优先对象；FUEL 可作为有明确地面约束适配的补充。先保存官方版本并跑通原演示，再记录接入共同平台的修改；原版、适配版和借鉴机制实现的版本分别命名。当前仓库里的旧几何、区域束搜索等原型不能改名为 TARE 或 FUEL。</w:t>
      </w:r>
      <w:r>
        <w:rPr>
          <w:rStyle w:val="FootnoteReference"/>
        </w:rPr>
        <w:footnoteReference w:id="70"/>
      </w:r>
    </w:p>
    <w:bookmarkEnd w:id="75"/>
    <w:bookmarkEnd w:id="76"/>
    <w:bookmarkStart w:id="80" w:name="六指标统计与通过条件"/>
    <w:p>
      <w:pPr>
        <w:pStyle w:val="Heading2"/>
      </w:pPr>
      <w:r>
        <w:t xml:space="preserve">六、指标、统计与通过条件</w:t>
      </w:r>
    </w:p>
    <w:p>
      <w:pPr>
        <w:pStyle w:val="FirstParagraph"/>
      </w:pPr>
      <w:r>
        <w:t xml:space="preserve">主指标保留固定预算下的</w:t>
      </w:r>
    </w:p>
    <w:p>
      <w:pPr>
        <w:pStyle w:val="BodyText"/>
      </w:pPr>
      <m:oMathPara>
        <m:oMathParaPr>
          <m:jc m:val="center"/>
        </m:oMathParaPr>
        <m:oMath>
          <m:sSub>
            <m:e>
              <m:r>
                <m:t>J</m:t>
              </m:r>
            </m:e>
            <m:sub>
              <m:r>
                <m:rPr>
                  <m:sty m:val="p"/>
                </m:rPr>
                <m:t>A</m:t>
              </m:r>
              <m:r>
                <m:rPr>
                  <m:sty m:val="p"/>
                </m:rPr>
                <m:t>U</m:t>
              </m:r>
              <m:r>
                <m:rPr>
                  <m:sty m:val="p"/>
                </m:rPr>
                <m:t>C</m:t>
              </m:r>
            </m:sub>
          </m:sSub>
          <m:r>
            <m:rPr>
              <m:sty m:val="p"/>
            </m:rPr>
            <m:t>=</m:t>
          </m:r>
          <m:f>
            <m:fPr>
              <m:type m:val="bar"/>
            </m:fPr>
            <m:num>
              <m:r>
                <m:t>1</m:t>
              </m:r>
            </m:num>
            <m:den>
              <m:r>
                <m:t>B</m:t>
              </m:r>
            </m:den>
          </m:f>
          <m:nary>
            <m:naryPr>
              <m:chr m:val="∫"/>
              <m:limLoc m:val="subSup"/>
              <m:subHide m:val="off"/>
              <m:supHide m:val="off"/>
            </m:naryPr>
            <m:sub>
              <m:r>
                <m:t>0</m:t>
              </m:r>
            </m:sub>
            <m:sup>
              <m:r>
                <m:t>B</m:t>
              </m:r>
            </m:sup>
            <m:e>
              <m:sSub>
                <m:e>
                  <m:r>
                    <m:t>C</m:t>
                  </m:r>
                </m:e>
                <m:sub>
                  <m:r>
                    <m:t>2</m:t>
                  </m:r>
                  <m:r>
                    <m:t>D</m:t>
                  </m:r>
                </m:sub>
              </m:sSub>
            </m:e>
          </m:nary>
          <m:d>
            <m:dPr>
              <m:begChr m:val="("/>
              <m:endChr m:val=")"/>
              <m:sepChr m:val=""/>
              <m:grow/>
            </m:dPr>
            <m:e>
              <m:r>
                <m:t>t</m:t>
              </m:r>
            </m:e>
          </m:d>
          <m:r>
            <m:t> </m:t>
          </m:r>
          <m:sSub>
            <m:e>
              <m:r>
                <m:t>F</m:t>
              </m:r>
            </m:e>
            <m:sub>
              <m:r>
                <m:t>3</m:t>
              </m:r>
              <m:r>
                <m:t>D</m:t>
              </m:r>
              <m:r>
                <m:rPr>
                  <m:sty m:val="p"/>
                </m:rPr>
                <m:t>,</m:t>
              </m:r>
              <m:r>
                <m:t>τ</m:t>
              </m:r>
            </m:sub>
          </m:sSub>
          <m:d>
            <m:dPr>
              <m:begChr m:val="("/>
              <m:endChr m:val=")"/>
              <m:sepChr m:val=""/>
              <m:grow/>
            </m:dPr>
            <m:e>
              <m:r>
                <m:t>t</m:t>
              </m:r>
            </m:e>
          </m:d>
          <m:r>
            <m:t> </m:t>
          </m:r>
          <m:r>
            <m:t>d</m:t>
          </m:r>
          <m:r>
            <m:t>t</m:t>
          </m:r>
          <m:r>
            <m:rPr>
              <m:sty m:val="p"/>
            </m:rPr>
            <m:t>,</m:t>
          </m:r>
          <m:r>
            <m:t>  </m:t>
          </m:r>
          <m:r>
            <m:t>τ</m:t>
          </m:r>
          <m:r>
            <m:rPr>
              <m:sty m:val="p"/>
            </m:rPr>
            <m:t>=</m:t>
          </m:r>
          <m:r>
            <m:t>5</m:t>
          </m:r>
          <m:r>
            <m:t> </m:t>
          </m:r>
          <m:r>
            <m:rPr>
              <m:sty m:val="p"/>
            </m:rPr>
            <m:t>c</m:t>
          </m:r>
          <m:r>
            <m:rPr>
              <m:sty m:val="p"/>
            </m:rPr>
            <m:t>m</m:t>
          </m:r>
          <m:r>
            <m:rPr>
              <m:sty m:val="p"/>
            </m:rPr>
            <m:t>.</m:t>
          </m:r>
        </m:oMath>
      </m:oMathPara>
    </w:p>
    <w:p>
      <w:pPr>
        <w:pStyle w:val="FirstParagraph"/>
      </w:pPr>
      <w:r>
        <w:t xml:space="preserve">同时报告二维覆盖 AUC 与终点覆盖，三维 P／R／F1@2/5/10cm，平均／95%表面误差、共同支持面误差、碰撞、距离和处理耗时。参考应从机器人可达视点能够观察的完整场景表面按面积固定采样，包含当前轨迹尚未探索的区域；标签条件不改变参考网格。F1 同时反映完整率与精确率，论文应使用“重建质量”或“完整性”，只有误差指标单独改善才使用“精度提高”。</w:t>
      </w:r>
    </w:p>
    <w:p>
      <w:pPr>
        <w:pStyle w:val="BodyText"/>
      </w:pPr>
      <w:r>
        <w:t xml:space="preserve">历史 V3／V4 的数值来自冻结的组合箱体网格及可见性过滤规则，不能直接称为唯一物理外表面的均匀采样。对本轮 72 回合所用的八个参考世界逐一审计后，确认可见参考中的冗余或内部权重约占 0.285%—1.908%，其中可见共面重复均位于复杂货架。这个比例不能直接换算成某方法的 F1 偏差。原记录保持不变，另已完成64条唯一轨迹、929个检查点的唯一外表面敏感性复核，新旧口径分别报告。新设施世界使用轴对齐实体并集外表面，并通过解析面积、体积、封闭性及传感器射线一致性检查。重复回放验证可复现性，外表面审计另行检查评价有效性。</w:t>
      </w:r>
      <w:r>
        <w:rPr>
          <w:rStyle w:val="FootnoteReference"/>
        </w:rPr>
        <w:footnoteReference w:id="77"/>
      </w:r>
    </w:p>
    <w:p>
      <w:pPr>
        <w:pStyle w:val="BodyText"/>
      </w:pPr>
      <w:r>
        <w:t xml:space="preserve">建议把研究成功拆成五个不可互相替代的条件：</w:t>
      </w:r>
    </w:p>
    <w:p>
      <w:pPr>
        <w:numPr>
          <w:ilvl w:val="0"/>
          <w:numId w:val="1001"/>
        </w:numPr>
        <w:pStyle w:val="Compact"/>
      </w:pPr>
      <w:r>
        <w:rPr>
          <w:bCs/>
          <w:b/>
        </w:rPr>
        <w:t xml:space="preserve">机制价值：</w:t>
      </w:r>
      <w:r>
        <w:t xml:space="preserve"> </w:t>
      </w:r>
      <w:r>
        <w:t xml:space="preserve">同历史反事实实验中，细类别相对共同几何后验与二值对象信息选择更有价值的观测。</w:t>
      </w:r>
    </w:p>
    <w:p>
      <w:pPr>
        <w:numPr>
          <w:ilvl w:val="0"/>
          <w:numId w:val="1001"/>
        </w:numPr>
        <w:pStyle w:val="Compact"/>
      </w:pPr>
      <w:r>
        <w:rPr>
          <w:bCs/>
          <w:b/>
        </w:rPr>
        <w:t xml:space="preserve">语义增量：</w:t>
      </w:r>
      <w:r>
        <w:t xml:space="preserve"> </w:t>
      </w:r>
      <w:r>
        <w:t xml:space="preserve">同后端、同候选与约束的完整方法相对去语义方法，在独立种子上有联合收益。</w:t>
      </w:r>
    </w:p>
    <w:p>
      <w:pPr>
        <w:numPr>
          <w:ilvl w:val="0"/>
          <w:numId w:val="1001"/>
        </w:numPr>
        <w:pStyle w:val="Compact"/>
      </w:pPr>
      <w:r>
        <w:rPr>
          <w:bCs/>
          <w:b/>
        </w:rPr>
        <w:t xml:space="preserve">系统净收益：</w:t>
      </w:r>
      <w:r>
        <w:t xml:space="preserve"> </w:t>
      </w:r>
      <w:r>
        <w:t xml:space="preserve">完整方法超过最强适配对照，同时物体假设、反馈与区域顺序的消融说明各自作用；若某模块持续负贡献，必须修改内部算法。</w:t>
      </w:r>
    </w:p>
    <w:p>
      <w:pPr>
        <w:numPr>
          <w:ilvl w:val="0"/>
          <w:numId w:val="1001"/>
        </w:numPr>
        <w:pStyle w:val="Compact"/>
      </w:pPr>
      <w:r>
        <w:rPr>
          <w:bCs/>
          <w:b/>
        </w:rPr>
        <w:t xml:space="preserve">覆盖代价：</w:t>
      </w:r>
      <w:r>
        <w:t xml:space="preserve"> </w:t>
      </w:r>
      <w:r>
        <w:t xml:space="preserve">终点覆盖均值下降不超过预定 2 个百分点；若超过，只能报告有代价的取舍，不能称覆盖无损。</w:t>
      </w:r>
    </w:p>
    <w:p>
      <w:pPr>
        <w:numPr>
          <w:ilvl w:val="0"/>
          <w:numId w:val="1001"/>
        </w:numPr>
        <w:pStyle w:val="Compact"/>
      </w:pPr>
      <w:r>
        <w:rPr>
          <w:bCs/>
          <w:b/>
        </w:rPr>
        <w:t xml:space="preserve">落地性：</w:t>
      </w:r>
      <w:r>
        <w:t xml:space="preserve"> </w:t>
      </w:r>
      <w:r>
        <w:t xml:space="preserve">实际视觉语义、估计位姿与执行反馈可接入，CPU 运行开销和回校后小车实验可复现。</w:t>
      </w:r>
    </w:p>
    <w:p>
      <w:pPr>
        <w:pStyle w:val="FirstParagraph"/>
      </w:pPr>
      <w:r>
        <w:t xml:space="preserve">已有通用确认协议保留 301—308 八个独立种子块，每块两布局、两遮挡条件，共 32 场景，尚未用作调参。三个预定主要差异采用配对种子重采样及 Bonferroni 校正区间。新设施场景应使用另一批未观察的种子，例如 401—412；只有生成规则、参数和主比较冻结后才能运行。新领域结果不能替换既有通用场景的失败记录，两者应同时报告。</w:t>
      </w:r>
    </w:p>
    <w:p>
      <w:pPr>
        <w:pStyle w:val="BodyText"/>
      </w:pPr>
      <w:r>
        <w:t xml:space="preserve">若查看独立结果后继续修改方法，该组数据就降为开发集，下一次确认需使用新种子。重复帧、多个算法版本和同场景多次结果不能虚增独立样本数。没有任何一项数学推导可替代上述性能实验。</w:t>
      </w:r>
    </w:p>
    <w:bookmarkEnd w:id="80"/>
    <w:bookmarkStart w:id="145" w:name="七当前实施状态与后续交付"/>
    <w:p>
      <w:pPr>
        <w:pStyle w:val="Heading2"/>
      </w:pPr>
      <w:r>
        <w:t xml:space="preserve">七、当前实施状态与后续交付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工作</w:t>
            </w:r>
          </w:p>
        </w:tc>
        <w:tc>
          <w:tcPr/>
          <w:p>
            <w:pPr>
              <w:pStyle w:val="Compact"/>
              <w:jc w:val="left"/>
            </w:pPr>
            <w:r>
              <w:t xml:space="preserve">已完成证据</w:t>
            </w:r>
          </w:p>
        </w:tc>
        <w:tc>
          <w:tcPr/>
          <w:p>
            <w:pPr>
              <w:pStyle w:val="Compact"/>
              <w:jc w:val="left"/>
            </w:pPr>
            <w:r>
              <w:t xml:space="preserve">仍需完成</w:t>
            </w:r>
          </w:p>
        </w:tc>
      </w:tr>
      <w:tr>
        <w:tc>
          <w:tcPr/>
          <w:p>
            <w:pPr>
              <w:pStyle w:val="Compact"/>
              <w:jc w:val="left"/>
            </w:pPr>
            <w:r>
              <w:t xml:space="preserve">四模块架构审计</w:t>
            </w:r>
          </w:p>
        </w:tc>
        <w:tc>
          <w:tcPr/>
          <w:p>
            <w:pPr>
              <w:pStyle w:val="Compact"/>
              <w:jc w:val="left"/>
            </w:pPr>
            <w:r>
              <w:t xml:space="preserve">真实调用链、权重和拓扑缺口定位</w:t>
            </w:r>
          </w:p>
        </w:tc>
        <w:tc>
          <w:tcPr/>
          <w:p>
            <w:pPr>
              <w:pStyle w:val="Compact"/>
              <w:jc w:val="left"/>
            </w:pPr>
            <w:r>
              <w:t xml:space="preserve">深度反投影、新语义机制进入同一管理器</w:t>
            </w:r>
          </w:p>
        </w:tc>
      </w:tr>
      <w:tr>
        <w:tc>
          <w:tcPr/>
          <w:p>
            <w:pPr>
              <w:pStyle w:val="Compact"/>
              <w:jc w:val="left"/>
            </w:pPr>
            <w:r>
              <w:t xml:space="preserve">原 ANS 最小接线</w:t>
            </w:r>
          </w:p>
        </w:tc>
        <w:tc>
          <w:tcPr/>
          <w:p>
            <w:pPr>
              <w:pStyle w:val="Compact"/>
              <w:jc w:val="left"/>
            </w:pPr>
            <w:r>
              <w:t xml:space="preserve">场景隔离、目标适配、缺能力禁用、已知空间完整轮廓检查</w:t>
            </w:r>
          </w:p>
        </w:tc>
        <w:tc>
          <w:tcPr/>
          <w:p>
            <w:pPr>
              <w:pStyle w:val="Compact"/>
              <w:jc w:val="left"/>
            </w:pPr>
            <w:r>
              <w:t xml:space="preserve">终止传感器状态、训练分布一致性、完整 Habitat 运行</w:t>
            </w:r>
          </w:p>
        </w:tc>
      </w:tr>
      <w:tr>
        <w:tc>
          <w:tcPr/>
          <w:p>
            <w:pPr>
              <w:pStyle w:val="Compact"/>
              <w:jc w:val="left"/>
            </w:pPr>
            <w:r>
              <w:t xml:space="preserve">CPU V4 收益守卫</w:t>
            </w:r>
          </w:p>
        </w:tc>
        <w:tc>
          <w:tcPr/>
          <w:p>
            <w:pPr>
              <w:pStyle w:val="Compact"/>
              <w:jc w:val="left"/>
            </w:pPr>
            <w:r>
              <w:t xml:space="preserve">72 回合开发与匹配消融，覆盖保护有增量</w:t>
            </w:r>
          </w:p>
        </w:tc>
        <w:tc>
          <w:tcPr/>
          <w:p>
            <w:pPr>
              <w:pStyle w:val="Compact"/>
              <w:jc w:val="left"/>
            </w:pPr>
            <w:r>
              <w:t xml:space="preserve">隐藏表面模型净收益、反馈归因、持久覆盖保留路线</w:t>
            </w:r>
          </w:p>
        </w:tc>
      </w:tr>
      <w:tr>
        <w:tc>
          <w:tcPr/>
          <w:p>
            <w:pPr>
              <w:pStyle w:val="Compact"/>
              <w:jc w:val="left"/>
            </w:pPr>
            <w:r>
              <w:t xml:space="preserve">新设施世界</w:t>
            </w:r>
          </w:p>
        </w:tc>
        <w:tc>
          <w:tcPr/>
          <w:p>
            <w:pPr>
              <w:pStyle w:val="Compact"/>
              <w:jc w:val="left"/>
            </w:pPr>
            <w:r>
              <w:t xml:space="preserve">原72条、新增候选16条及分歧路线4条均执行并回放</w:t>
            </w:r>
          </w:p>
        </w:tc>
        <w:tc>
          <w:tcPr/>
          <w:p>
            <w:pPr>
              <w:pStyle w:val="Compact"/>
              <w:jc w:val="left"/>
            </w:pPr>
            <w:r>
              <w:t xml:space="preserve">跨历史稳定语义净收益、正式闭环效果矩阵</w:t>
            </w:r>
          </w:p>
        </w:tc>
      </w:tr>
      <w:tr>
        <w:tc>
          <w:tcPr/>
          <w:p>
            <w:pPr>
              <w:pStyle w:val="Compact"/>
              <w:jc w:val="left"/>
            </w:pPr>
            <w:r>
              <w:t xml:space="preserve">数学依据</w:t>
            </w:r>
          </w:p>
        </w:tc>
        <w:tc>
          <w:tcPr/>
          <w:p>
            <w:pPr>
              <w:pStyle w:val="Compact"/>
              <w:jc w:val="left"/>
            </w:pPr>
            <w:r>
              <w:t xml:space="preserve">信息价值、固定代理性质、覆盖延迟界、账本及风险条件</w:t>
            </w:r>
          </w:p>
        </w:tc>
        <w:tc>
          <w:tcPr/>
          <w:p>
            <w:pPr>
              <w:pStyle w:val="Compact"/>
              <w:jc w:val="left"/>
            </w:pPr>
            <w:r>
              <w:t xml:space="preserve">实现假设与实际传感器校准的逐项对应</w:t>
            </w:r>
          </w:p>
        </w:tc>
      </w:tr>
      <w:tr>
        <w:tc>
          <w:tcPr/>
          <w:p>
            <w:pPr>
              <w:pStyle w:val="Compact"/>
              <w:jc w:val="left"/>
            </w:pPr>
            <w:r>
              <w:t xml:space="preserve">主流基线准备</w:t>
            </w:r>
          </w:p>
        </w:tc>
        <w:tc>
          <w:tcPr/>
          <w:p>
            <w:pPr>
              <w:pStyle w:val="Compact"/>
              <w:jc w:val="left"/>
            </w:pPr>
            <w:r>
              <w:t xml:space="preserve">官方 TARE 路径求解组件原生构建、4 项夹具通过；完整 planner 实际配置检查</w:t>
            </w:r>
          </w:p>
        </w:tc>
        <w:tc>
          <w:tcPr/>
          <w:p>
            <w:pPr>
              <w:pStyle w:val="Compact"/>
              <w:jc w:val="left"/>
            </w:pPr>
            <w:r>
              <w:t xml:space="preserve">ROS/catkin 环境、官方演示、统一平台适配和测量</w:t>
            </w:r>
          </w:p>
        </w:tc>
      </w:tr>
      <w:tr>
        <w:tc>
          <w:tcPr/>
          <w:p>
            <w:pPr>
              <w:pStyle w:val="Compact"/>
              <w:jc w:val="left"/>
            </w:pPr>
            <w:r>
              <w:t xml:space="preserve">论文材料</w:t>
            </w:r>
          </w:p>
        </w:tc>
        <w:tc>
          <w:tcPr/>
          <w:p>
            <w:pPr>
              <w:pStyle w:val="Compact"/>
              <w:jc w:val="left"/>
            </w:pPr>
            <w:r>
              <w:t xml:space="preserve">文献综述、来源清单、理论推导、架构审计</w:t>
            </w:r>
          </w:p>
        </w:tc>
        <w:tc>
          <w:tcPr/>
          <w:p>
            <w:pPr>
              <w:pStyle w:val="Compact"/>
              <w:jc w:val="left"/>
            </w:pPr>
            <w:r>
              <w:t xml:space="preserve">用确认结果替换实验与结论章节</w:t>
            </w:r>
          </w:p>
        </w:tc>
      </w:tr>
    </w:tbl>
    <w:p>
      <w:pPr>
        <w:pStyle w:val="BodyText"/>
      </w:pPr>
      <w:r>
        <w:t xml:space="preserve">V4 第一轮开发参数在新结果产生前固定：预测覆盖效率阈值为同起点覆盖方案的 80%，被分类为低覆盖效率的补看动作额度为总预算的 12%，末段 20% 时间留给覆盖；无目标时的自动扫描也计入额度。连续低实测收益和相同局部地图下的重复已达视点触发覆盖回退。这些比例只是第一版开发参数，不能从它们推导实际终点覆盖非劣。</w:t>
      </w:r>
    </w:p>
    <w:p>
      <w:pPr>
        <w:pStyle w:val="BodyText"/>
      </w:pPr>
      <w:r>
        <w:t xml:space="preserve">原有两个开发种子、两布局、两遮挡条件上的 32 回合 V4 对照已经完成；467 个检查点经过原始 RGB-D／雷达回放，最终网格顶点与三角形完全一致，终点覆盖、覆盖 AUC 与联合 AUC 已独立复算。所有方法共享原场景、融合后端与固定预算，提前停止后指标保持到预算终点。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right"/>
            </w:pPr>
            <w:r>
              <w:t xml:space="preserve">联合 AUC@5cm</w:t>
            </w:r>
          </w:p>
        </w:tc>
        <w:tc>
          <w:tcPr/>
          <w:p>
            <w:pPr>
              <w:pStyle w:val="Compact"/>
              <w:jc w:val="right"/>
            </w:pPr>
            <w:r>
              <w:t xml:space="preserve">终点覆盖</w:t>
            </w:r>
          </w:p>
        </w:tc>
        <w:tc>
          <w:tcPr/>
          <w:p>
            <w:pPr>
              <w:pStyle w:val="Compact"/>
              <w:jc w:val="right"/>
            </w:pPr>
            <w:r>
              <w:t xml:space="preserve">终点 F1@5cm</w:t>
            </w:r>
          </w:p>
        </w:tc>
      </w:tr>
      <w:tr>
        <w:tc>
          <w:tcPr/>
          <w:p>
            <w:pPr>
              <w:pStyle w:val="Compact"/>
              <w:jc w:val="left"/>
            </w:pPr>
            <w:r>
              <w:t xml:space="preserve">纯覆盖</w:t>
            </w:r>
          </w:p>
        </w:tc>
        <w:tc>
          <w:tcPr/>
          <w:p>
            <w:pPr>
              <w:pStyle w:val="Compact"/>
              <w:jc w:val="right"/>
            </w:pPr>
            <w:r>
              <w:t xml:space="preserve">0.475799</w:t>
            </w:r>
          </w:p>
        </w:tc>
        <w:tc>
          <w:tcPr/>
          <w:p>
            <w:pPr>
              <w:pStyle w:val="Compact"/>
              <w:jc w:val="right"/>
            </w:pPr>
            <w:r>
              <w:t xml:space="preserve">95.401%</w:t>
            </w:r>
          </w:p>
        </w:tc>
        <w:tc>
          <w:tcPr/>
          <w:p>
            <w:pPr>
              <w:pStyle w:val="Compact"/>
              <w:jc w:val="right"/>
            </w:pPr>
            <w:r>
              <w:t xml:space="preserve">86.625%</w:t>
            </w:r>
          </w:p>
        </w:tc>
      </w:tr>
      <w:tr>
        <w:tc>
          <w:tcPr/>
          <w:p>
            <w:pPr>
              <w:pStyle w:val="Compact"/>
              <w:jc w:val="left"/>
            </w:pPr>
            <w:r>
              <w:t xml:space="preserve">V3 完整原型</w:t>
            </w:r>
          </w:p>
        </w:tc>
        <w:tc>
          <w:tcPr/>
          <w:p>
            <w:pPr>
              <w:pStyle w:val="Compact"/>
              <w:jc w:val="right"/>
            </w:pPr>
            <w:r>
              <w:t xml:space="preserve">0.494072</w:t>
            </w:r>
          </w:p>
        </w:tc>
        <w:tc>
          <w:tcPr/>
          <w:p>
            <w:pPr>
              <w:pStyle w:val="Compact"/>
              <w:jc w:val="right"/>
            </w:pPr>
            <w:r>
              <w:t xml:space="preserve">91.768%</w:t>
            </w:r>
          </w:p>
        </w:tc>
        <w:tc>
          <w:tcPr/>
          <w:p>
            <w:pPr>
              <w:pStyle w:val="Compact"/>
              <w:jc w:val="right"/>
            </w:pPr>
            <w:r>
              <w:t xml:space="preserve">85.894%</w:t>
            </w:r>
          </w:p>
        </w:tc>
      </w:tr>
      <w:tr>
        <w:tc>
          <w:tcPr/>
          <w:p>
            <w:pPr>
              <w:pStyle w:val="Compact"/>
              <w:jc w:val="left"/>
            </w:pPr>
            <w:r>
              <w:t xml:space="preserve">V4 同版无语义</w:t>
            </w:r>
          </w:p>
        </w:tc>
        <w:tc>
          <w:tcPr/>
          <w:p>
            <w:pPr>
              <w:pStyle w:val="Compact"/>
              <w:jc w:val="right"/>
            </w:pPr>
            <w:r>
              <w:t xml:space="preserve">0.478124</w:t>
            </w:r>
          </w:p>
        </w:tc>
        <w:tc>
          <w:tcPr/>
          <w:p>
            <w:pPr>
              <w:pStyle w:val="Compact"/>
              <w:jc w:val="right"/>
            </w:pPr>
            <w:r>
              <w:t xml:space="preserve">94.248%</w:t>
            </w:r>
          </w:p>
        </w:tc>
        <w:tc>
          <w:tcPr/>
          <w:p>
            <w:pPr>
              <w:pStyle w:val="Compact"/>
              <w:jc w:val="right"/>
            </w:pPr>
            <w:r>
              <w:t xml:space="preserve">85.279%</w:t>
            </w:r>
          </w:p>
        </w:tc>
      </w:tr>
      <w:tr>
        <w:tc>
          <w:tcPr/>
          <w:p>
            <w:pPr>
              <w:pStyle w:val="Compact"/>
              <w:jc w:val="left"/>
            </w:pPr>
            <w:r>
              <w:t xml:space="preserve">V4 完整原型</w:t>
            </w:r>
          </w:p>
        </w:tc>
        <w:tc>
          <w:tcPr/>
          <w:p>
            <w:pPr>
              <w:pStyle w:val="Compact"/>
              <w:jc w:val="right"/>
            </w:pPr>
            <w:r>
              <w:t xml:space="preserve">0.495626</w:t>
            </w:r>
          </w:p>
        </w:tc>
        <w:tc>
          <w:tcPr/>
          <w:p>
            <w:pPr>
              <w:pStyle w:val="Compact"/>
              <w:jc w:val="right"/>
            </w:pPr>
            <w:r>
              <w:t xml:space="preserve">94.672%</w:t>
            </w:r>
          </w:p>
        </w:tc>
        <w:tc>
          <w:tcPr/>
          <w:p>
            <w:pPr>
              <w:pStyle w:val="Compact"/>
              <w:jc w:val="right"/>
            </w:pPr>
            <w:r>
              <w:t xml:space="preserve">86.563%</w:t>
            </w:r>
          </w:p>
        </w:tc>
      </w:tr>
    </w:tbl>
    <w:p>
      <w:pPr>
        <w:pStyle w:val="BodyText"/>
      </w:pPr>
      <w:r>
        <w:t xml:space="preserve">V4 相对纯覆盖的联合 AUC 均值提高 4.167%，终点覆盖低 0.729 个百分点；相对同版无语义的联合 AUC 高 3.661%，终点覆盖高 0.424 个百分点。相对 V3，覆盖高 2.904 个百分点，联合 AUC 高 0.315%。这证明修正值得继续检验，不能称独立验证或主流方法优势。</w:t>
      </w:r>
    </w:p>
    <w:p>
      <w:pPr>
        <w:pStyle w:val="BodyText"/>
      </w:pPr>
      <w:r>
        <w:t xml:space="preserve">这一轮 16 个 V4 完整／无语义回合的实测反馈拒绝计数均为零，实际触发的是覆盖额度与预留规则。因此还不能把改善归因于反馈学习或收益校准。追加 40 回合匹配消融已完成并复核：完整方法相对仅物体性的联合 AUC 高 3.813%，但比去物体假设版本低 1.235%；去反馈后 8 个场景的轨迹、覆盖掩码和最终网格完全相同。两批有效运行共 72 回合、64 个不重复场景—方法组合；另有 8 对完整方法重复用于复现一致性检查，不能增加样本数。原先一批消融未通过源码冻结，已排除并从原始快照隔离重跑。因此，当前的语义信息有开发增量，隐藏表面模型整体仍没有净贡献，反馈的实际收益也未建立。</w:t>
      </w:r>
      <w:r>
        <w:rPr>
          <w:rStyle w:val="FootnoteReference"/>
        </w:rPr>
        <w:footnoteReference w:id="81"/>
      </w:r>
    </w:p>
    <w:p>
      <w:pPr>
        <w:pStyle w:val="BodyText"/>
      </w:pPr>
      <w:r>
        <w:t xml:space="preserve">随后对这 64 个唯一终点进行了独立的表面口径复核：保持预测网格及其采样不变，先精确复现旧指标，再改用唯一实体外表面的参考与距离查询。旧口径最大复算误差为 0。下表显示完整 V4 减去对照的终点差值，不能代替时间平均联合指标：</w:t>
      </w:r>
      <w:r>
        <w:rPr>
          <w:rStyle w:val="FootnoteReference"/>
        </w:rPr>
        <w:footnoteReference w:id="85"/>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对照</w:t>
            </w:r>
          </w:p>
        </w:tc>
        <w:tc>
          <w:tcPr/>
          <w:p>
            <w:pPr>
              <w:pStyle w:val="Compact"/>
              <w:jc w:val="right"/>
            </w:pPr>
            <w:r>
              <w:t xml:space="preserve">旧终点 C×F1@5cm 差值</w:t>
            </w:r>
          </w:p>
        </w:tc>
        <w:tc>
          <w:tcPr/>
          <w:p>
            <w:pPr>
              <w:pStyle w:val="Compact"/>
              <w:jc w:val="right"/>
            </w:pPr>
            <w:r>
              <w:t xml:space="preserve">新终点 C×F1@5cm 差值</w:t>
            </w:r>
          </w:p>
        </w:tc>
      </w:tr>
      <w:tr>
        <w:tc>
          <w:tcPr/>
          <w:p>
            <w:pPr>
              <w:pStyle w:val="Compact"/>
              <w:jc w:val="left"/>
            </w:pPr>
            <w:r>
              <w:t xml:space="preserve">纯覆盖</w:t>
            </w:r>
          </w:p>
        </w:tc>
        <w:tc>
          <w:tcPr/>
          <w:p>
            <w:pPr>
              <w:pStyle w:val="Compact"/>
              <w:jc w:val="right"/>
            </w:pPr>
            <w:r>
              <w:t xml:space="preserve">−0.005671</w:t>
            </w:r>
          </w:p>
        </w:tc>
        <w:tc>
          <w:tcPr/>
          <w:p>
            <w:pPr>
              <w:pStyle w:val="Compact"/>
              <w:jc w:val="right"/>
            </w:pPr>
            <w:r>
              <w:t xml:space="preserve">−0.004069</w:t>
            </w:r>
          </w:p>
        </w:tc>
      </w:tr>
      <w:tr>
        <w:tc>
          <w:tcPr/>
          <w:p>
            <w:pPr>
              <w:pStyle w:val="Compact"/>
              <w:jc w:val="left"/>
            </w:pPr>
            <w:r>
              <w:t xml:space="preserve">同版无语义</w:t>
            </w:r>
          </w:p>
        </w:tc>
        <w:tc>
          <w:tcPr/>
          <w:p>
            <w:pPr>
              <w:pStyle w:val="Compact"/>
              <w:jc w:val="right"/>
            </w:pPr>
            <w:r>
              <w:t xml:space="preserve">+0.016032</w:t>
            </w:r>
          </w:p>
        </w:tc>
        <w:tc>
          <w:tcPr/>
          <w:p>
            <w:pPr>
              <w:pStyle w:val="Compact"/>
              <w:jc w:val="right"/>
            </w:pPr>
            <w:r>
              <w:t xml:space="preserve">+0.014265</w:t>
            </w:r>
          </w:p>
        </w:tc>
      </w:tr>
      <w:tr>
        <w:tc>
          <w:tcPr/>
          <w:p>
            <w:pPr>
              <w:pStyle w:val="Compact"/>
              <w:jc w:val="left"/>
            </w:pPr>
            <w:r>
              <w:t xml:space="preserve">仅物体性</w:t>
            </w:r>
          </w:p>
        </w:tc>
        <w:tc>
          <w:tcPr/>
          <w:p>
            <w:pPr>
              <w:pStyle w:val="Compact"/>
              <w:jc w:val="right"/>
            </w:pPr>
            <w:r>
              <w:t xml:space="preserve">+0.012172</w:t>
            </w:r>
          </w:p>
        </w:tc>
        <w:tc>
          <w:tcPr/>
          <w:p>
            <w:pPr>
              <w:pStyle w:val="Compact"/>
              <w:jc w:val="right"/>
            </w:pPr>
            <w:r>
              <w:t xml:space="preserve">+0.011400</w:t>
            </w:r>
          </w:p>
        </w:tc>
      </w:tr>
      <w:tr>
        <w:tc>
          <w:tcPr/>
          <w:p>
            <w:pPr>
              <w:pStyle w:val="Compact"/>
              <w:jc w:val="left"/>
            </w:pPr>
            <w:r>
              <w:t xml:space="preserve">去物体假设</w:t>
            </w:r>
          </w:p>
        </w:tc>
        <w:tc>
          <w:tcPr/>
          <w:p>
            <w:pPr>
              <w:pStyle w:val="Compact"/>
              <w:jc w:val="right"/>
            </w:pPr>
            <w:r>
              <w:t xml:space="preserve">−0.010703</w:t>
            </w:r>
          </w:p>
        </w:tc>
        <w:tc>
          <w:tcPr/>
          <w:p>
            <w:pPr>
              <w:pStyle w:val="Compact"/>
              <w:jc w:val="right"/>
            </w:pPr>
            <w:r>
              <w:t xml:space="preserve">−0.009380</w:t>
            </w:r>
          </w:p>
        </w:tc>
      </w:tr>
    </w:tbl>
    <w:p>
      <w:pPr>
        <w:pStyle w:val="BodyText"/>
      </w:pPr>
      <w:r>
        <w:t xml:space="preserve">这些终点联合差值在 2／5／10cm 阈值下均未变号。单独 F1@5cm 相对纯覆盖则由 −0.000625 变为 +0.001154，说明不能说所有细指标都完全稳定；新口径的终点联合值仍落后于纯覆盖和去物体假设。新参考还包含有限采样变化，不能把每个微小变化单独归因于去重。</w:t>
      </w:r>
    </w:p>
    <w:p>
      <w:pPr>
        <w:pStyle w:val="BodyText"/>
      </w:pPr>
      <w:r>
        <w:t xml:space="preserve">随后已完成全部 64 条唯一轨迹的原始观测回放，共 16,946 帧、929 个检查点。旧指标最大复算误差为零，最终网格逐位一致，逐步覆盖一致；新评价复用终点审计已冻结的唯一外表面参考。独立积分复核误差不超过</w:t>
      </w:r>
      <w:r>
        <w:t xml:space="preserve"> </w:t>
      </w:r>
      <m:oMath>
        <m:r>
          <m:t>2.23</m:t>
        </m:r>
        <m:r>
          <m:rPr>
            <m:sty m:val="p"/>
          </m:rPr>
          <m:t>×</m:t>
        </m:r>
        <m:sSup>
          <m:e>
            <m:r>
              <m:t>10</m:t>
            </m:r>
          </m:e>
          <m:sup>
            <m:r>
              <m:rPr>
                <m:sty m:val="p"/>
              </m:rPr>
              <m:t>−</m:t>
            </m:r>
            <m:r>
              <m:t>16</m:t>
            </m:r>
          </m:sup>
        </m:sSup>
      </m:oMath>
      <w:r>
        <w:t xml:space="preserve">。新口径完整 V4 的联合 AUC@5cm 为 0.496252，纯覆盖为 0.474396，相对提高约</w:t>
      </w:r>
      <w:r>
        <w:t xml:space="preserve"> </w:t>
      </w:r>
      <w:r>
        <w:rPr>
          <w:bCs/>
          <w:b/>
        </w:rPr>
        <w:t xml:space="preserve">4.61%</w:t>
      </w:r>
      <w:r>
        <w:t xml:space="preserve">；相对几何、仅物体性的绝对差分别为 +0.017068、+0.017989，但相对去物体假设仍为 −0.004946，去反馈差为零。上述 4.167% 等旧值仅保留作历史口径记录。均值方向在 2／5／10cm 下保持，三个接近零的逐场景差值变号，因此不能写成全部比较完全不变。</w:t>
      </w:r>
      <w:r>
        <w:rPr>
          <w:rStyle w:val="FootnoteReference"/>
        </w:rPr>
        <w:footnoteReference w:id="87"/>
      </w:r>
    </w:p>
    <w:p>
      <w:pPr>
        <w:pStyle w:val="BodyText"/>
      </w:pPr>
      <w:r>
        <w:t xml:space="preserve">设施生成器与控制条件已经实现。固定正面视图检查中，四个开发种子的八个实心／分层设备实例均可从 RGB 人工标识读出类别，成对深度在 1mm 量化后相同；因此语义输入确有来自图像的额外类别线索。该结论只适用于理想人工标识和固定视点，既不证明自然图像开放词汇能力，也不证明补看收益。统一运行与回放入口已接入设施配置，并通过 seed811、32 动作上限下的四个短流程和 20 个检查点回放；其中 V4 没有超过纯覆盖，正确与缺失标签的 V4 轨迹相同。这些结果只说明连续数据通路可运行，不纳入 72 回合开发效果汇总，也没有使用保留的独立种子。</w:t>
      </w:r>
      <w:r>
        <w:rPr>
          <w:rStyle w:val="FootnoteReference"/>
        </w:rPr>
        <w:footnoteReference w:id="89"/>
      </w:r>
    </w:p>
    <w:bookmarkStart w:id="103" w:name="同历史真实观测价值与根因"/>
    <w:p>
      <w:pPr>
        <w:pStyle w:val="Heading3"/>
      </w:pPr>
      <w:r>
        <w:t xml:space="preserve">同历史真实观测价值与根因</w:t>
      </w:r>
    </w:p>
    <w:p>
      <w:pPr>
        <w:pStyle w:val="FirstParagraph"/>
      </w:pPr>
      <w:hyperlink r:id="rId93">
        <w:r>
          <w:rPr>
            <w:rStyle w:val="Hyperlink"/>
          </w:rPr>
          <w:t xml:space="preserve">反事实视角价值开发协议</w:t>
        </w:r>
      </w:hyperlink>
      <w:r>
        <w:t xml:space="preserve">的执行、评分封存、真实去返动作与独立回放均已实现。751／752 首批预定 8 个历史中，6 个可用，每个 12 个共同候选，共</w:t>
      </w:r>
      <w:r>
        <w:t xml:space="preserve"> </w:t>
      </w:r>
      <w:r>
        <w:rPr>
          <w:bCs/>
          <w:b/>
        </w:rPr>
        <w:t xml:space="preserve">72 条实际分支、1,766 个付费动作</w:t>
      </w:r>
      <w:r>
        <w:t xml:space="preserve">；两档高噪声的 step160 因纯覆盖前缀提前结束而不可用，保留记录，不补造零收益。全部分支返回共同起点朝向、无碰撞，独立回放通过。候选和原评分先于未来观测封存，三维评价使用唯一外表面。</w:t>
      </w:r>
      <w:r>
        <w:rPr>
          <w:rStyle w:val="FootnoteReference"/>
        </w:rPr>
        <w:footnoteReference w:id="94"/>
      </w:r>
    </w:p>
    <w:p>
      <w:pPr>
        <w:pStyle w:val="BodyText"/>
      </w:pPr>
      <w:r>
        <w:t xml:space="preserve">六个可用历史均有可见标记支持的模型簇，但 G／O／S／X／M／N 在每个历史选择完全相同。语义在 4 个历史改变了分数，在</w:t>
      </w:r>
      <w:r>
        <w:t xml:space="preserve"> </w:t>
      </w:r>
      <w:r>
        <w:rPr>
          <w:bCs/>
          <w:b/>
        </w:rPr>
        <w:t xml:space="preserve">0 个历史改变了选择</w:t>
      </w:r>
      <w:r>
        <w:t xml:space="preserve">；平均新增可见面积为 12.561091m²、面积率为 0.450628m²／动作，平均 F1@5cm 增量为 0.041485。它们是同一批被选分支的共享结果，不能写成语义收益。只有两个开发种子，检查点和噪声条件不是独立样本；753／754 开发检查及保留的确认种子仍未使用。</w:t>
      </w:r>
    </w:p>
    <w:p>
      <w:pPr>
        <w:pStyle w:val="BodyText"/>
      </w:pPr>
      <w:r>
        <w:t xml:space="preserve">事后真值诊断只用于找错，未进入规划。17 个历史—簇记录中有 5 个得到真实背景表面支持，贡献 S 模型潜在面积权重的</w:t>
      </w:r>
      <w:r>
        <w:t xml:space="preserve"> </w:t>
      </w:r>
      <w:r>
        <w:rPr>
          <w:bCs/>
          <w:b/>
        </w:rPr>
        <w:t xml:space="preserve">49.71%</w:t>
      </w:r>
      <w:r>
        <w:t xml:space="preserve">。S、G、错标 X 的假设权重中，距真实外表面 5cm 内的比例分别为 36.16%、28.69%、20.87%；这些是模型几何相关性的描述，并非新增观测或重建指标。旧分位数包围拟合还会缩小物体范围、移动已观测面，导致假设进入真实实体内部。</w:t>
      </w:r>
      <w:r>
        <w:rPr>
          <w:rStyle w:val="FootnoteReference"/>
        </w:rPr>
        <w:footnoteReference w:id="97"/>
      </w:r>
    </w:p>
    <w:p>
      <w:pPr>
        <w:pStyle w:val="BodyText"/>
      </w:pPr>
      <w:r>
        <w:t xml:space="preserve">评分问题与形状问题分开存在：四个低噪声历史均选择 2 动作转向往返，所选隐藏面积为零；其中两个 step160 的新可见面积为零，F1 增量分别为 −0.000189 和零。共同已见支撑的距离却有约 0.011—0.049mm 的微小改善，故不能把重复观测质量收益全归为虚假。当前主要问题是总代理收益除以短路线成本后，微小局部改善压过了其他路线的全图收益；本批没有 recall 截断饱和。详见</w:t>
      </w:r>
      <w:hyperlink r:id="rId99">
        <w:r>
          <w:rPr>
            <w:rStyle w:val="Hyperlink"/>
          </w:rPr>
          <w:t xml:space="preserve">评分诊断</w:t>
        </w:r>
      </w:hyperlink>
      <w:r>
        <w:t xml:space="preserve">。</w:t>
      </w:r>
    </w:p>
    <w:p>
      <w:pPr>
        <w:pStyle w:val="BodyText"/>
      </w:pPr>
      <w:r>
        <w:t xml:space="preserve">在保留接口下，V5 修正实测体素支撑的包围拟合，并在声明的人工标记域内给无标记簇保留非零对象性先验；O／S 共用对象性规则，细类别只改形状概率，真实缺失输入恢复 G。另将共同 48 动作预算内的预测联合收益积分作为独立评分消融。前者和后者必须分别归因；不因新评分更好就宣称语义有价值。所有修正只在已查看的 751／752 上开发，原 rate 指标和协议门槛保留。</w:t>
      </w:r>
      <w:hyperlink r:id="rId100">
        <w:r>
          <w:rPr>
            <w:rStyle w:val="Hyperlink"/>
          </w:rPr>
          <w:t xml:space="preserve">V5 设计</w:t>
        </w:r>
      </w:hyperlink>
      <w:r>
        <w:t xml:space="preserve">说明了未校准先验与单面厚度不可辨识边界。</w:t>
      </w:r>
    </w:p>
    <w:p>
      <w:pPr>
        <w:pStyle w:val="BodyText"/>
      </w:pPr>
      <w:r>
        <w:t xml:space="preserve">两模型乘两评分目标的</w:t>
      </w:r>
      <w:hyperlink r:id="rId101">
        <w:r>
          <w:rPr>
            <w:rStyle w:val="Hyperlink"/>
          </w:rPr>
          <w:t xml:space="preserve">同数据重评分</w:t>
        </w:r>
      </w:hyperlink>
      <w:r>
        <w:t xml:space="preserve">已经完成，新增物理分支为零。原六个历史的评分逐字段复现，997 个源输入重新核对。共同预算 AUC 使 5／6 个历史改变选择，S 的平均面积率为 0.488844m²／动作、F1 增量为 0.059802、实际稀疏联合 AUC 为 0.840082（原为 0.831645）。实际 AUC 仅用起点、到达与终点三个重建检查点插值保持，不是逐帧重建评价。V5 与旧模型在同一目标下仍同选，G／O／S／X／M 也仍同选，故细类别增量仍为零。AUC 下 N 在一个历史选择不同且更好，其面积率均值为 0.551441、F1 增量为 0.061411，隐藏模型净贡献仍负。752 低噪声 step160 的新选择新增面积仍为零且 F1 下降；751 高噪声 step80 的实际稀疏 AUC 也下降，失败记录均保留。</w:t>
      </w:r>
    </w:p>
    <w:p>
      <w:pPr>
        <w:pStyle w:val="BodyText"/>
      </w:pPr>
      <w:r>
        <w:t xml:space="preserve">进一步的</w:t>
      </w:r>
      <w:hyperlink r:id="rId102">
        <w:r>
          <w:rPr>
            <w:rStyle w:val="Hyperlink"/>
          </w:rPr>
          <w:t xml:space="preserve">V5 几何对照</w:t>
        </w:r>
      </w:hyperlink>
      <w:r>
        <w:t xml:space="preserve">证明两项改动不能捆绑宣布成功。S 的背景权重占比从 49.71% 降到 20.71%，但 G 假设距真实外表面 5cm 内的比例由 28.69% 降到 26.36%；在真实简单／复杂对象组中，S 贴合比例分别由 40.99%／82.06% 降至 28.50%／75.46%。新支撑扩张把 x 轴原约 7cm 的收缩变成约 6—7cm 的外扩；两类的中心和平均轴尺寸误差均恶化。S 总贴合比例升至 42.99% 是对象性降权与几何变化混合后的读数，不能掩盖真实对象拟合退化。因此</w:t>
      </w:r>
      <w:r>
        <w:t xml:space="preserve"> </w:t>
      </w:r>
      <w:r>
        <w:rPr>
          <w:bCs/>
          <w:b/>
        </w:rPr>
        <w:t xml:space="preserve">V5 几何修正不作为默认方案采纳</w:t>
      </w:r>
      <w:r>
        <w:t xml:space="preserve">，独立版本与负结果保留；对象性只是部分达到背景降权目标，尚未建立规划收益。</w:t>
      </w:r>
    </w:p>
    <w:bookmarkEnd w:id="103"/>
    <w:bookmarkStart w:id="116" w:name="观测时序候选充分性与v6响应探针"/>
    <w:p>
      <w:pPr>
        <w:pStyle w:val="Heading3"/>
      </w:pPr>
      <w:r>
        <w:t xml:space="preserve">观测时序、候选充分性与V6响应探针</w:t>
      </w:r>
    </w:p>
    <w:p>
      <w:pPr>
        <w:pStyle w:val="FirstParagraph"/>
      </w:pPr>
      <w:hyperlink r:id="rId104">
        <w:r>
          <w:rPr>
            <w:rStyle w:val="Hyperlink"/>
          </w:rPr>
          <w:t xml:space="preserve">固定时序审计</w:t>
        </w:r>
      </w:hyperlink>
      <w:r>
        <w:t xml:space="preserve">覆盖4个开发条件的0、10、…、160动作，共68个预定位置，64个可用、4个因前缀结束不可用，全部保留。98个被接纳的标记簇中，正确类别与几何形状混合系数的差为0.310—0.404；没有证据支持“类别输入被完全吞掉”。G与S只在2个时刻选择不同，说明原80/160检查点会遗漏局部作用窗口。</w:t>
      </w:r>
    </w:p>
    <w:p>
      <w:pPr>
        <w:pStyle w:val="BodyText"/>
      </w:pPr>
      <w:r>
        <w:t xml:space="preserve">这2个时刻的全部不同选择已</w:t>
      </w:r>
      <w:hyperlink r:id="rId105">
        <w:r>
          <w:rPr>
            <w:rStyle w:val="Hyperlink"/>
          </w:rPr>
          <w:t xml:space="preserve">真实执行并独立回放</w:t>
        </w:r>
      </w:hyperlink>
      <w:r>
        <w:t xml:space="preserve">，共4条路线、100个动作。751、高噪声、step100的两条2动作路线新增面积均为零；S仅比G多0.0289个百分点F1增量，不能验证隐藏面积预测。752、低噪声、step70的两条48动作路线中，S新增面积14.650693m²，G为10.815843m²，F1增量分别0.044877和0.036638；但N与S同选。因此局部类别干预有实际作用，尚不能证明隐藏模型或完整系统净优势。这是定位后的分歧执行，不能当作全时段策略均值或原协议过关结果。</w:t>
      </w:r>
    </w:p>
    <w:p>
      <w:pPr>
        <w:pStyle w:val="BodyText"/>
      </w:pPr>
      <w:hyperlink r:id="rId106">
        <w:r>
          <w:rPr>
            <w:rStyle w:val="Hyperlink"/>
          </w:rPr>
          <w:t xml:space="preserve">候选充分性审计</w:t>
        </w:r>
      </w:hyperlink>
      <w:r>
        <w:t xml:space="preserve">复现原6个候选池，并枚举7,694个同安全约束、同48动作预算内的朝向位姿。原反事实执行器将对象身份合并到网格位置，再只朝最近几何簇定向；按成本分位压缩后，部分对象／观察方向机会丢失。此问题属于该执行器，旧闭环V4本身枚举四朝向。两个低噪声step160的全部可行位姿预测对象收益为零，但事后真值单帧可见性上界仍有未见对象面；仅调整类别权重无法修复零收益通道。该静态上界没有计入真实深度失效，不能冒充实际重建收益。</w:t>
      </w:r>
    </w:p>
    <w:p>
      <w:pPr>
        <w:pStyle w:val="BodyText"/>
      </w:pPr>
      <w:r>
        <w:t xml:space="preserve">新候选模块按观测对象和方位均衡生成候选，保留四朝向、原安全约束和真实去返成本，不用类别或真值挑选。四个step80历史各追加4条，共16条、660个动作，全部无碰撞并通过</w:t>
      </w:r>
      <w:hyperlink r:id="rId107">
        <w:r>
          <w:rPr>
            <w:rStyle w:val="Hyperlink"/>
          </w:rPr>
          <w:t xml:space="preserve">完整回放</w:t>
        </w:r>
      </w:hyperlink>
      <w:r>
        <w:t xml:space="preserve">。两个step160没有得到新增候选，仍未解决其候选范围与零收益问题。原核验器要求编号从0开始，首次因新增编号12起而失败；</w:t>
      </w:r>
      <w:hyperlink r:id="rId108">
        <w:r>
          <w:rPr>
            <w:rStyle w:val="Hyperlink"/>
          </w:rPr>
          <w:t xml:space="preserve">适配审计</w:t>
        </w:r>
      </w:hyperlink>
      <w:r>
        <w:t xml:space="preserve">保留失败记录，新核验只改为检查与原封存编号连续衔接、不重复端点和新增数量上限，其余传感器、动作、网格和指标检查不变。新增候选目录中的单独均值只涵盖新增候选，不能替代原12条与新增候选合并后的方法比较。</w:t>
      </w:r>
    </w:p>
    <w:p>
      <w:pPr>
        <w:pStyle w:val="BodyText"/>
      </w:pPr>
      <w:hyperlink r:id="rId109">
        <w:r>
          <w:rPr>
            <w:rStyle w:val="Hyperlink"/>
          </w:rPr>
          <w:t xml:space="preserve">完整联合池比较</w:t>
        </w:r>
      </w:hyperlink>
      <w:r>
        <w:t xml:space="preserve">已合并原72条与新增16条。原rate评分在2/6历史改选新增候选，平均面积率从0.450628升至0.564706，约提高25.32%；F1增量从0.041485升至0.063321，二维覆盖增量从1.946667m²升至2.220000m²。但G/O/S/X/M/N仍全部同选，这属于候选生成的共同收益。共同预算AUC评分下，S面积率从0.488844升至0.535786，N为0.598383；S相对N的联合增量AUC仍低0.003824。原72条rate/AUC及新增16条rate预测逐项复现，8,009个输入哈希核验，旧结果不变。候选数量和规则在开发诊断后修改，这不是原预注册效能门槛通过，也没有新增独立几何种子。</w:t>
      </w:r>
    </w:p>
    <w:p>
      <w:pPr>
        <w:pStyle w:val="BodyText"/>
      </w:pPr>
      <w:r>
        <w:t xml:space="preserve">V6另检验“直接预测观测响应”的内部设计，见</w:t>
      </w:r>
      <w:hyperlink r:id="rId110">
        <w:r>
          <w:rPr>
            <w:rStyle w:val="Hyperlink"/>
          </w:rPr>
          <w:t xml:space="preserve">条件理论</w:t>
        </w:r>
      </w:hyperlink>
      <w:r>
        <w:t xml:space="preserve">与</w:t>
      </w:r>
      <w:hyperlink r:id="rId111">
        <w:r>
          <w:rPr>
            <w:rStyle w:val="Hyperlink"/>
          </w:rPr>
          <w:t xml:space="preserve">独立审阅</w:t>
        </w:r>
      </w:hyperlink>
      <w:r>
        <w:t xml:space="preserve">。其输入由已观测表面、候选方向、历史方位、距离和共同覆盖／质量代理构成；类别改变方向相关的响应特征，不改变参考面积或奖励权重。先用小模型预测路线的相对面积率与F1增量，避免把未验证的补全网格当作确定未来表面。当前类别混合系数仍沿用V3未校准形状打分，尚未完全脱离旧先验。</w:t>
      </w:r>
    </w:p>
    <w:p>
      <w:pPr>
        <w:pStyle w:val="BodyText"/>
      </w:pPr>
      <w:r>
        <w:t xml:space="preserve">固定正则化系数为1，以另一几何种子拟合，在留出种子预测；751/752均已用于方法设计，因此这只是开发诊断。每段历史的训练输入和标签分别中心化，每段平均损失等权；预测只用候选输入均值，无留出标签或截距：</w:t>
      </w:r>
    </w:p>
    <w:p>
      <w:pPr>
        <w:pStyle w:val="BodyText"/>
      </w:pPr>
      <m:oMathPara>
        <m:oMathParaPr>
          <m:jc m:val="center"/>
        </m:oMathParaPr>
        <m:oMath>
          <m:acc>
            <m:accPr>
              <m:chr m:val="̂"/>
            </m:accPr>
            <m:e>
              <m:r>
                <m:t>W</m:t>
              </m:r>
            </m:e>
          </m:acc>
          <m:r>
            <m:rPr>
              <m:sty m:val="p"/>
            </m:rPr>
            <m:t>=</m:t>
          </m:r>
          <m:r>
            <m:rPr>
              <m:sty m:val="p"/>
            </m:rPr>
            <m:t>arg</m:t>
          </m:r>
          <m:limLow>
            <m:e>
              <m:r>
                <m:rPr>
                  <m:sty m:val="p"/>
                </m:rPr>
                <m:t>min</m:t>
              </m:r>
            </m:e>
            <m:lim>
              <m:r>
                <m:t>W</m:t>
              </m:r>
            </m:lim>
          </m:limLow>
          <m:nary>
            <m:naryPr>
              <m:chr m:val="∑"/>
              <m:limLoc m:val="undOvr"/>
              <m:subHide m:val="off"/>
              <m:supHide m:val="on"/>
            </m:naryPr>
            <m:sub>
              <m:r>
                <m:t>h</m:t>
              </m:r>
            </m:sub>
            <m:sup>
              <m:r>
                <m:t>​</m:t>
              </m:r>
            </m:sup>
            <m:e>
              <m:f>
                <m:fPr>
                  <m:type m:val="bar"/>
                </m:fPr>
                <m:num>
                  <m:r>
                    <m:t>1</m:t>
                  </m:r>
                </m:num>
                <m:den>
                  <m:sSub>
                    <m:e>
                      <m:r>
                        <m:t>n</m:t>
                      </m:r>
                    </m:e>
                    <m:sub>
                      <m:r>
                        <m:t>h</m:t>
                      </m:r>
                    </m:sub>
                  </m:sSub>
                </m:den>
              </m:f>
            </m:e>
          </m:nary>
          <m:sSubSup>
            <m:e>
              <m:d>
                <m:dPr>
                  <m:begChr m:val="∥"/>
                  <m:endChr m:val="∥"/>
                  <m:sepChr m:val=""/>
                  <m:grow/>
                </m:dPr>
                <m:e>
                  <m:sSub>
                    <m:e>
                      <m:acc>
                        <m:accPr>
                          <m:chr m:val="̃"/>
                        </m:accPr>
                        <m:e>
                          <m:r>
                            <m:t>X</m:t>
                          </m:r>
                        </m:e>
                      </m:acc>
                    </m:e>
                    <m:sub>
                      <m:r>
                        <m:t>h</m:t>
                      </m:r>
                    </m:sub>
                  </m:sSub>
                  <m:sSup>
                    <m:e>
                      <m:r>
                        <m:t>D</m:t>
                      </m:r>
                    </m:e>
                    <m:sup>
                      <m:r>
                        <m:rPr>
                          <m:sty m:val="p"/>
                        </m:rPr>
                        <m:t>−</m:t>
                      </m:r>
                      <m:r>
                        <m:t>1</m:t>
                      </m:r>
                    </m:sup>
                  </m:sSup>
                  <m:r>
                    <m:t>W</m:t>
                  </m:r>
                  <m:r>
                    <m:rPr>
                      <m:sty m:val="p"/>
                    </m:rPr>
                    <m:t>−</m:t>
                  </m:r>
                  <m:sSub>
                    <m:e>
                      <m:acc>
                        <m:accPr>
                          <m:chr m:val="̃"/>
                        </m:accPr>
                        <m:e>
                          <m:r>
                            <m:t>Y</m:t>
                          </m:r>
                        </m:e>
                      </m:acc>
                    </m:e>
                    <m:sub>
                      <m:r>
                        <m:t>h</m:t>
                      </m:r>
                    </m:sub>
                  </m:sSub>
                </m:e>
              </m:d>
            </m:e>
            <m:sub>
              <m:r>
                <m:t>F</m:t>
              </m:r>
            </m:sub>
            <m:sup>
              <m:r>
                <m:t>2</m:t>
              </m:r>
            </m:sup>
          </m:sSubSup>
          <m:r>
            <m:rPr>
              <m:sty m:val="p"/>
            </m:rPr>
            <m:t>+</m:t>
          </m:r>
          <m:r>
            <m:rPr>
              <m:sty m:val="p"/>
            </m:rPr>
            <m:t>∥</m:t>
          </m:r>
          <m:r>
            <m:t>W</m:t>
          </m:r>
          <m:sSubSup>
            <m:e>
              <m:r>
                <m:rPr>
                  <m:sty m:val="p"/>
                </m:rPr>
                <m:t>∥</m:t>
              </m:r>
            </m:e>
            <m:sub>
              <m:r>
                <m:t>F</m:t>
              </m:r>
            </m:sub>
            <m:sup>
              <m:r>
                <m:t>2</m:t>
              </m:r>
            </m:sup>
          </m:sSubSup>
          <m:r>
            <m:rPr>
              <m:sty m:val="p"/>
            </m:rPr>
            <m:t>,</m:t>
          </m:r>
          <m:r>
            <m:t>  </m:t>
          </m:r>
          <m:sSub>
            <m:e>
              <m:acc>
                <m:accPr>
                  <m:chr m:val="̂"/>
                </m:accPr>
                <m:e>
                  <m:r>
                    <m:t>Y</m:t>
                  </m:r>
                </m:e>
              </m:acc>
            </m:e>
            <m:sub>
              <m:r>
                <m:t>h</m:t>
              </m:r>
            </m:sub>
          </m:sSub>
          <m:r>
            <m:rPr>
              <m:sty m:val="p"/>
            </m:rPr>
            <m:t>=</m:t>
          </m:r>
          <m:d>
            <m:dPr>
              <m:begChr m:val="("/>
              <m:endChr m:val=")"/>
              <m:sepChr m:val=""/>
              <m:grow/>
            </m:dPr>
            <m:e>
              <m:sSub>
                <m:e>
                  <m:r>
                    <m:t>X</m:t>
                  </m:r>
                </m:e>
                <m:sub>
                  <m:r>
                    <m:t>h</m:t>
                  </m:r>
                </m:sub>
              </m:sSub>
              <m:r>
                <m:rPr>
                  <m:sty m:val="p"/>
                </m:rPr>
                <m:t>−</m:t>
              </m:r>
              <m:sSub>
                <m:e>
                  <m:bar>
                    <m:barPr>
                      <m:pos m:val="top"/>
                    </m:barPr>
                    <m:e>
                      <m:r>
                        <m:t>X</m:t>
                      </m:r>
                    </m:e>
                  </m:bar>
                </m:e>
                <m:sub>
                  <m:r>
                    <m:t>h</m:t>
                  </m:r>
                </m:sub>
              </m:sSub>
            </m:e>
          </m:d>
          <m:sSup>
            <m:e>
              <m:r>
                <m:t>D</m:t>
              </m:r>
            </m:e>
            <m:sup>
              <m:r>
                <m:rPr>
                  <m:sty m:val="p"/>
                </m:rPr>
                <m:t>−</m:t>
              </m:r>
              <m:r>
                <m:t>1</m:t>
              </m:r>
            </m:sup>
          </m:sSup>
          <m:acc>
            <m:accPr>
              <m:chr m:val="̂"/>
            </m:accPr>
            <m:e>
              <m:r>
                <m:t>W</m:t>
              </m:r>
            </m:e>
          </m:acc>
          <m:r>
            <m:rPr>
              <m:sty m:val="p"/>
            </m:rPr>
            <m:t>.</m:t>
          </m:r>
        </m:oMath>
      </m:oMathPara>
    </w:p>
    <w:p>
      <w:pPr>
        <w:pStyle w:val="FirstParagraph"/>
      </w:pPr>
      <w:r>
        <w:t xml:space="preserve">尺度矩阵</w:t>
      </w:r>
      <m:oMath>
        <m:r>
          <m:t>D</m:t>
        </m:r>
      </m:oMath>
      <w:r>
        <w:t xml:space="preserve">仅由训练历史决定。预测允许为负，表示同历史相对价值，不是已校准的绝对面积／概率；面积率不再次除以成本。G、O、S、N分别重新拟合，交换标签X只改变冻结S模型的测试输入，缺失M显式回退到G；另保留固定S参数的G／O输入干预，避免混淆模型重训与类别作用。</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原72条分支上的响应探针</w:t>
            </w:r>
          </w:p>
        </w:tc>
        <w:tc>
          <w:tcPr/>
          <w:p>
            <w:pPr>
              <w:pStyle w:val="Compact"/>
              <w:jc w:val="right"/>
            </w:pPr>
            <w:r>
              <w:t xml:space="preserve">平均面积率（m²／动作）</w:t>
            </w:r>
          </w:p>
        </w:tc>
        <w:tc>
          <w:tcPr/>
          <w:p>
            <w:pPr>
              <w:pStyle w:val="Compact"/>
              <w:jc w:val="right"/>
            </w:pPr>
            <w:r>
              <w:t xml:space="preserve">F1@5cm增量</w:t>
            </w:r>
          </w:p>
        </w:tc>
        <w:tc>
          <w:tcPr/>
          <w:p>
            <w:pPr>
              <w:pStyle w:val="Compact"/>
              <w:jc w:val="right"/>
            </w:pPr>
            <w:r>
              <w:t xml:space="preserve">二维覆盖增量（m²）</w:t>
            </w:r>
          </w:p>
        </w:tc>
      </w:tr>
      <w:tr>
        <w:tc>
          <w:tcPr/>
          <w:p>
            <w:pPr>
              <w:pStyle w:val="Compact"/>
              <w:jc w:val="left"/>
            </w:pPr>
            <w:r>
              <w:t xml:space="preserve">共同几何G</w:t>
            </w:r>
          </w:p>
        </w:tc>
        <w:tc>
          <w:tcPr/>
          <w:p>
            <w:pPr>
              <w:pStyle w:val="Compact"/>
              <w:jc w:val="right"/>
            </w:pPr>
            <w:r>
              <w:t xml:space="preserve">0.566369</w:t>
            </w:r>
          </w:p>
        </w:tc>
        <w:tc>
          <w:tcPr/>
          <w:p>
            <w:pPr>
              <w:pStyle w:val="Compact"/>
              <w:jc w:val="right"/>
            </w:pPr>
            <w:r>
              <w:t xml:space="preserve">0.028534</w:t>
            </w:r>
          </w:p>
        </w:tc>
        <w:tc>
          <w:tcPr/>
          <w:p>
            <w:pPr>
              <w:pStyle w:val="Compact"/>
              <w:jc w:val="right"/>
            </w:pPr>
            <w:r>
              <w:t xml:space="preserve">1.000000</w:t>
            </w:r>
          </w:p>
        </w:tc>
      </w:tr>
      <w:tr>
        <w:tc>
          <w:tcPr/>
          <w:p>
            <w:pPr>
              <w:pStyle w:val="Compact"/>
              <w:jc w:val="left"/>
            </w:pPr>
            <w:r>
              <w:t xml:space="preserve">仅对象性O</w:t>
            </w:r>
          </w:p>
        </w:tc>
        <w:tc>
          <w:tcPr/>
          <w:p>
            <w:pPr>
              <w:pStyle w:val="Compact"/>
              <w:jc w:val="right"/>
            </w:pPr>
            <w:r>
              <w:t xml:space="preserve">0.705502</w:t>
            </w:r>
          </w:p>
        </w:tc>
        <w:tc>
          <w:tcPr/>
          <w:p>
            <w:pPr>
              <w:pStyle w:val="Compact"/>
              <w:jc w:val="right"/>
            </w:pPr>
            <w:r>
              <w:t xml:space="preserve">0.024405</w:t>
            </w:r>
          </w:p>
        </w:tc>
        <w:tc>
          <w:tcPr/>
          <w:p>
            <w:pPr>
              <w:pStyle w:val="Compact"/>
              <w:jc w:val="right"/>
            </w:pPr>
            <w:r>
              <w:t xml:space="preserve">0.953333</w:t>
            </w:r>
          </w:p>
        </w:tc>
      </w:tr>
      <w:tr>
        <w:tc>
          <w:tcPr/>
          <w:p>
            <w:pPr>
              <w:pStyle w:val="Compact"/>
              <w:jc w:val="left"/>
            </w:pPr>
            <w:r>
              <w:t xml:space="preserve">正确细类别S</w:t>
            </w:r>
          </w:p>
        </w:tc>
        <w:tc>
          <w:tcPr/>
          <w:p>
            <w:pPr>
              <w:pStyle w:val="Compact"/>
              <w:jc w:val="right"/>
            </w:pPr>
            <w:r>
              <w:t xml:space="preserve">0.574956</w:t>
            </w:r>
          </w:p>
        </w:tc>
        <w:tc>
          <w:tcPr/>
          <w:p>
            <w:pPr>
              <w:pStyle w:val="Compact"/>
              <w:jc w:val="right"/>
            </w:pPr>
            <w:r>
              <w:t xml:space="preserve">0.030095</w:t>
            </w:r>
          </w:p>
        </w:tc>
        <w:tc>
          <w:tcPr/>
          <w:p>
            <w:pPr>
              <w:pStyle w:val="Compact"/>
              <w:jc w:val="right"/>
            </w:pPr>
            <w:r>
              <w:t xml:space="preserve">1.000000</w:t>
            </w:r>
          </w:p>
        </w:tc>
      </w:tr>
      <w:tr>
        <w:tc>
          <w:tcPr/>
          <w:p>
            <w:pPr>
              <w:pStyle w:val="Compact"/>
              <w:jc w:val="left"/>
            </w:pPr>
            <w:r>
              <w:t xml:space="preserve">交换类别X</w:t>
            </w:r>
          </w:p>
        </w:tc>
        <w:tc>
          <w:tcPr/>
          <w:p>
            <w:pPr>
              <w:pStyle w:val="Compact"/>
              <w:jc w:val="right"/>
            </w:pPr>
            <w:r>
              <w:t xml:space="preserve">0.705502</w:t>
            </w:r>
          </w:p>
        </w:tc>
        <w:tc>
          <w:tcPr/>
          <w:p>
            <w:pPr>
              <w:pStyle w:val="Compact"/>
              <w:jc w:val="right"/>
            </w:pPr>
            <w:r>
              <w:t xml:space="preserve">0.024431</w:t>
            </w:r>
          </w:p>
        </w:tc>
        <w:tc>
          <w:tcPr/>
          <w:p>
            <w:pPr>
              <w:pStyle w:val="Compact"/>
              <w:jc w:val="right"/>
            </w:pPr>
            <w:r>
              <w:t xml:space="preserve">0.953333</w:t>
            </w:r>
          </w:p>
        </w:tc>
      </w:tr>
      <w:tr>
        <w:tc>
          <w:tcPr/>
          <w:p>
            <w:pPr>
              <w:pStyle w:val="Compact"/>
              <w:jc w:val="left"/>
            </w:pPr>
            <w:r>
              <w:t xml:space="preserve">去对象响应N</w:t>
            </w:r>
          </w:p>
        </w:tc>
        <w:tc>
          <w:tcPr/>
          <w:p>
            <w:pPr>
              <w:pStyle w:val="Compact"/>
              <w:jc w:val="right"/>
            </w:pPr>
            <w:r>
              <w:t xml:space="preserve">0.735502</w:t>
            </w:r>
          </w:p>
        </w:tc>
        <w:tc>
          <w:tcPr/>
          <w:p>
            <w:pPr>
              <w:pStyle w:val="Compact"/>
              <w:jc w:val="right"/>
            </w:pPr>
            <w:r>
              <w:t xml:space="preserve">0.024659</w:t>
            </w:r>
          </w:p>
        </w:tc>
        <w:tc>
          <w:tcPr/>
          <w:p>
            <w:pPr>
              <w:pStyle w:val="Compact"/>
              <w:jc w:val="right"/>
            </w:pPr>
            <w:r>
              <w:t xml:space="preserve">0.953333</w:t>
            </w:r>
          </w:p>
        </w:tc>
      </w:tr>
    </w:tbl>
    <w:p>
      <w:pPr>
        <w:pStyle w:val="BodyText"/>
      </w:pPr>
      <w:r>
        <w:t xml:space="preserve">独立SVD重拟合核对8个模型、48条选择及994个输入哈希，未发现留出标签进入拟合；特征重组核验5,184个标量，未独立重算原始几何描述符。S相对G仅在一个种子有面积率增量，仍弱于O/X/N；S的平均F1较高，但没有通过原面积率和双种子方向门槛。有效自由度及特征残差检查也不支持把失败简单归因为类别特征线性不可辨识；已有极端外推特征提示需要更充分、分组隔离的响应训练。</w:t>
      </w:r>
    </w:p>
    <w:p>
      <w:pPr>
        <w:pStyle w:val="BodyText"/>
      </w:pPr>
      <w:r>
        <w:t xml:space="preserve">将上述8个冻结模型直接用于原72条与新增16条的联合候选池，所有48条选择保持不变，均没有选中新候选；其中4个历史实际扩池，对应32条选择，另2个历史仍为原池。该</w:t>
      </w:r>
      <w:hyperlink r:id="rId112">
        <w:r>
          <w:rPr>
            <w:rStyle w:val="Hyperlink"/>
          </w:rPr>
          <w:t xml:space="preserve">冻结模型迁移记录</w:t>
        </w:r>
      </w:hyperlink>
      <w:r>
        <w:t xml:space="preserve">未重新拟合，先封存全部特征、分数和选择再读取结果；旧候选特征精确复现，扩大候选池的中心化只使旧分数整体平移。</w:t>
      </w:r>
      <w:hyperlink r:id="rId113">
        <w:r>
          <w:rPr>
            <w:rStyle w:val="Hyperlink"/>
          </w:rPr>
          <w:t xml:space="preserve">独立复核</w:t>
        </w:r>
      </w:hyperlink>
      <w:r>
        <w:t xml:space="preserve">确认26个封存文件、1,026个输入哈希和全部选择，矩阵乘法预测误差为零；这没有另行重算原始三维特征，也不独立认证历史封存时钟。此次候选补充没有修复响应排序，不能宣布V6有效，更不能用F1均值较高替换既定通过条件。</w:t>
      </w:r>
    </w:p>
    <w:p>
      <w:pPr>
        <w:pStyle w:val="BodyText"/>
      </w:pPr>
      <w:r>
        <w:t xml:space="preserve">官方环境探测已纠正先前状态：Docker 客户端和服务均可用，但无现成 ROS 镜像。未修改的 TARE TSP 源码与官方附带 OR-Tools 在 CPU 上编译运行，4 个夹具通过；完整 planner 配置因缺 catkin 失败，ROS 节点和 CMU 演示均未运行。2026-09-11检查约1.5GiB空闲，完整环境仍未展开；固定基础镜像和后续构建配置已准备。</w:t>
      </w:r>
      <w:hyperlink r:id="rId74">
        <w:r>
          <w:rPr>
            <w:rStyle w:val="Hyperlink"/>
          </w:rPr>
          <w:t xml:space="preserve">实际构建记录</w:t>
        </w:r>
      </w:hyperlink>
      <w:r>
        <w:t xml:space="preserve">分别记录组件、节点、演示和公平对照状态。</w:t>
      </w:r>
    </w:p>
    <w:p>
      <w:pPr>
        <w:pStyle w:val="BodyText"/>
      </w:pPr>
      <w:r>
        <w:t xml:space="preserve">后续先通过同池语义、隐藏模型净贡献和负控制门槛，再恢复闭环实验、接入四模块管理器并比较原作者方法。当前完整方案优势仍未成立。</w:t>
      </w:r>
    </w:p>
    <w:p>
      <w:pPr>
        <w:pStyle w:val="BodyText"/>
      </w:pPr>
      <w:hyperlink r:id="rId114">
        <w:r>
          <w:rPr>
            <w:rStyle w:val="Hyperlink"/>
          </w:rPr>
          <w:t xml:space="preserve">有限验证协议</w:t>
        </w:r>
      </w:hyperlink>
      <w:r>
        <w:t xml:space="preserve">限定8个训练与4个校准配对父上下文、最多144条新分支。现已完成原始V6特征独立复算及V7训练阶段，具体实现和结果见</w:t>
      </w:r>
      <w:hyperlink r:id="rId115">
        <w:r>
          <w:rPr>
            <w:rStyle w:val="Hyperlink"/>
          </w:rPr>
          <w:t xml:space="preserve">V7实施证据</w:t>
        </w:r>
      </w:hyperlink>
      <w:r>
        <w:t xml:space="preserve">。V6描述虽逐项复现，但簇中心和表面点的方位参照不同，视野内点—位姿对26.94%的扇区不一致；V7已统一逐点参照，并在没有深度支持时禁用有向响应。这是建模近似修正，不能把该比例解释为收益误差。</w:t>
      </w:r>
    </w:p>
    <w:bookmarkEnd w:id="116"/>
    <w:bookmarkStart w:id="118" w:name="v7配对响应实验的否定性诊断"/>
    <w:p>
      <w:pPr>
        <w:pStyle w:val="Heading3"/>
      </w:pPr>
      <w:r>
        <w:t xml:space="preserve">V7配对响应实验的否定性诊断</w:t>
      </w:r>
    </w:p>
    <w:p>
      <w:pPr>
        <w:pStyle w:val="FirstParagraph"/>
      </w:pPr>
      <w:r>
        <w:t xml:space="preserve">V7采用正面几何相同、遮挡后分别为储物层架／通风挡板的两种设备，类别来自实际可见人工标记。8个T父上下文共16个历史、96条候选、2,892个分支动作和320个前缀动作全部留档，已执行的原始观测、路线、网格与指标均通过独立回放；4条模拟器碰撞提前结束，均保留。配对前缀非语义几何和路线精确相同，T0独立数学复算1,008个特征标量的最大误差为</w:t>
      </w:r>
      <w:r>
        <w:t xml:space="preserve"> </w:t>
      </w:r>
      <m:oMath>
        <m:r>
          <m:t>2.65</m:t>
        </m:r>
        <m:r>
          <m:rPr>
            <m:sty m:val="p"/>
          </m:rPr>
          <m:t>×</m:t>
        </m:r>
        <m:sSup>
          <m:e>
            <m:r>
              <m:t>10</m:t>
            </m:r>
          </m:e>
          <m:sup>
            <m:r>
              <m:rPr>
                <m:sty m:val="p"/>
              </m:rPr>
              <m:t>−</m:t>
            </m:r>
            <m:r>
              <m:t>23</m:t>
            </m:r>
          </m:sup>
        </m:sSup>
      </m:oMath>
      <w:r>
        <w:t xml:space="preserve">。</w:t>
      </w:r>
    </w:p>
    <w:p>
      <w:pPr>
        <w:pStyle w:val="BodyText"/>
      </w:pPr>
      <w:r>
        <w:t xml:space="preserve">G、O、S、N与额外几何交互对照分别在T内部按父上下文交叉验证，均选择正则0.1，有效自由度约0.895—1.025。16个历史的9种模型／输入干预全部同选，T内平均面积率1.994412平方米／动作、F1@5cm增量0.332275；没有选中失败路线。这些是拟合后的训练诊断，不能称为校准结果或未见场景性能。</w:t>
      </w:r>
    </w:p>
    <w:p>
      <w:pPr>
        <w:pStyle w:val="BodyText"/>
      </w:pPr>
      <w:r>
        <w:t xml:space="preserve">在每对世界中分别取已知真实收益的最优动作，再与只能选同一个动作的最优边缘策略比较，8个父上下文的面积率信息价值上界全部为零。两个物理家族的结构不同，却具有共同最优路线。因此“类间存在隐藏结构差异”不足以证明“类别能改善当前选点决策”。两组oracle包含失败后的短成本分母，另需成功路线敏感性检查，不能改写为成功返程最优性能。语义效果不能靠提高类别权重或替换主门槛制造。</w:t>
      </w:r>
    </w:p>
    <w:p>
      <w:pPr>
        <w:pStyle w:val="BodyText"/>
      </w:pPr>
      <w:r>
        <w:t xml:space="preserve">4条碰撞的只读复融诊断发现，动作执行前最新地图均已判下一格不可通行，旧执行器却没有复核冻结路线。模拟器保守栅格与连续几何也存在边界差异，本轮保留其规则和失败。独立V8执行守卫现已增加逐动作地图检查，并在路线失效时计算包含朝向恢复的安全返回。它面向RPN可行性接口，尚不等于完整ANS调用链已经集成，也不是概率风险校准。</w:t>
      </w:r>
    </w:p>
    <w:p>
      <w:pPr>
        <w:pStyle w:val="BodyText"/>
      </w:pPr>
      <w:r>
        <w:t xml:space="preserve">原V7因此停止在首次C前，未进行C0—C3标定、753/754检查或独立确认。V8执行修正的已知受影响案例已经检验，下一步须用固定、有界的任务构造检验类别是否改变受预算约束的最优动作，保留本轮全部负结果。合成标记域不能替代自然开放词汇与完整ANS系统证据。归档120个已回放中间网格释放约232.47MiB，所有原始观测保留；T0的20个归档网格已从原始记录重建并逐文件哈希精确匹配。</w:t>
      </w:r>
    </w:p>
    <w:p>
      <w:pPr>
        <w:pStyle w:val="BodyText"/>
      </w:pPr>
      <w:hyperlink r:id="rId117">
        <w:r>
          <w:rPr>
            <w:rStyle w:val="Hyperlink"/>
          </w:rPr>
          <w:t xml:space="preserve">独立面积分解</w:t>
        </w:r>
      </w:hyperlink>
      <w:r>
        <w:t xml:space="preserve">进一步显示，前缀只观察到约42%—45%的背景，全部候选反事实新面积合计91.13%来自背景。只看对象时仍有7/8上下文的理想类别信息价值为零，成功共同候选下的全场值也全部为零，分支J-AUC同样没有类别决策增量。这既涉及共同背景尚未覆盖，也涉及单对象的最优观察方向对两类别几乎相同；不能通过增加类别奖励解决。下一版小范围机制设计为两个初始几何对称对象、交换隐藏结构和真实资产类别、保持总参考面积，并让真实付费前缀先观察背景、剩余预算只够深入一个对象。最多24条预定开发分支先检验这些条件是否成立，不按oracle筛布局或循环加样。</w:t>
      </w:r>
    </w:p>
    <w:bookmarkEnd w:id="118"/>
    <w:bookmarkStart w:id="122" w:name="v8执行守卫全部受影响案例已独立复核"/>
    <w:p>
      <w:pPr>
        <w:pStyle w:val="Heading3"/>
      </w:pPr>
      <w:r>
        <w:t xml:space="preserve">V8执行守卫：全部受影响案例已独立复核</w:t>
      </w:r>
    </w:p>
    <w:p>
      <w:pPr>
        <w:pStyle w:val="FirstParagraph"/>
      </w:pPr>
      <w:hyperlink r:id="rId119">
        <w:r>
          <w:rPr>
            <w:rStyle w:val="Hyperlink"/>
          </w:rPr>
          <w:t xml:space="preserve">10条受影响路线合计报告</w:t>
        </w:r>
      </w:hyperlink>
      <w:r>
        <w:t xml:space="preserve">覆盖全量96条旧轨迹审计确定的全部案例：原4条碰撞路线与6条会被新守卫改变的原成功路线，没有根据重建收益筛选。前者新增128个分支动作，后者147个，合计275个新分支动作；每次从原世界实际重放20动作前缀，另计200个前缀动作。两批的</w:t>
      </w:r>
      <w:hyperlink r:id="rId120">
        <w:r>
          <w:rPr>
            <w:rStyle w:val="Hyperlink"/>
          </w:rPr>
          <w:t xml:space="preserve">4案例独立核验</w:t>
        </w:r>
      </w:hyperlink>
      <w:r>
        <w:t xml:space="preserve">和</w:t>
      </w:r>
      <w:hyperlink r:id="rId121">
        <w:r>
          <w:rPr>
            <w:rStyle w:val="Hyperlink"/>
          </w:rPr>
          <w:t xml:space="preserve">6案例独立核验</w:t>
        </w:r>
      </w:hyperlink>
      <w:r>
        <w:t xml:space="preserve">均为</w:t>
      </w:r>
      <w:r>
        <w:t xml:space="preserve"> </w:t>
      </w:r>
      <w:r>
        <w:rPr>
          <w:rStyle w:val="VerbatimChar"/>
        </w:rPr>
        <w:t xml:space="preserve">passed_full</w:t>
      </w:r>
      <w:r>
        <w:t xml:space="preserve">，分别复核原始传感器、真实位姿、最终地图与网格，并独立计算完整机器人轮廓检查和带朝向BFS返程。</w:t>
      </w:r>
    </w:p>
    <w:p>
      <w:pPr>
        <w:pStyle w:val="BodyText"/>
      </w:pPr>
      <w:r>
        <w:t xml:space="preserve">实际结果为</w:t>
      </w:r>
      <w:r>
        <w:rPr>
          <w:bCs/>
          <w:b/>
        </w:rPr>
        <w:t xml:space="preserve">9条付费返回原前缀位置及朝向、1条明确停止、0次碰撞、0条完成原完整往返路线</w:t>
      </w:r>
      <w:r>
        <w:t xml:space="preserve">。其中T5/storage候选5在第14个动作到达原目标姿态，第15个动作后的最新地图使当前位置完整轮廓不再满足已知安全条件；第16个动作被否决，守卫也无法在其硬规则下启动返程。系统未放宽地图、免费观察或伪造返回，独立回放确认该停机原因。故“9条返回”不等于“9个原任务完成”，</w:t>
      </w:r>
      <w:r>
        <w:t xml:space="preserve">“</w:t>
      </w:r>
      <w:r>
        <w:t xml:space="preserve">0条完整路线</w:t>
      </w:r>
      <w:r>
        <w:t xml:space="preserve">”</w:t>
      </w:r>
      <w:r>
        <w:t xml:space="preserve">也不等于“没有目标到达”。</w:t>
      </w:r>
    </w:p>
    <w:p>
      <w:pPr>
        <w:pStyle w:val="BodyText"/>
      </w:pPr>
      <w:r>
        <w:t xml:space="preserve">这些是全部已知受影响路线的开发回归，证明该守卫在这些案例中忠实执行了拒绝、返回或停止；不能据此给出一般安全保证，也没有重建或语义效用结论。新保护会改变4/16个原历史、36/144个已封存训练选择，旧收益必须保留其原执行版本，不能只替换4条碰撞标签后沿用。当前位置可能在获得新观测后失去已知安全性、无法返程，仍是系统边界。</w:t>
      </w:r>
    </w:p>
    <w:bookmarkEnd w:id="122"/>
    <w:bookmarkStart w:id="125" w:name="v8双资产构造与v8.1候选边界修正"/>
    <w:p>
      <w:pPr>
        <w:pStyle w:val="Heading3"/>
      </w:pPr>
      <w:r>
        <w:t xml:space="preserve">V8双资产构造与V8.1候选边界修正</w:t>
      </w:r>
    </w:p>
    <w:p>
      <w:pPr>
        <w:pStyle w:val="FirstParagraph"/>
      </w:pPr>
      <w:hyperlink r:id="rId123">
        <w:r>
          <w:rPr>
            <w:rStyle w:val="Hyperlink"/>
          </w:rPr>
          <w:t xml:space="preserve">构造审计</w:t>
        </w:r>
      </w:hyperlink>
      <w:r>
        <w:t xml:space="preserve">已完成P0/P1两个开发父布局、每个布局两种资产交换排列，共四个固定世界。每个世界含一件储物层架和一件封闭设备柜，前面板、侧壁、顶部与底座共同，后部结构不同；类别来自实际RGB人工资产标记。每组世界只交换隐藏结构及资产类别，保留平面脚印和唯一GT总面积。P1是P0的几何镜像，精确传感器配对只要求同一父布局内成立，不声称四世界像素全部相同。</w:t>
      </w:r>
    </w:p>
    <w:p>
      <w:pPr>
        <w:pStyle w:val="BodyText"/>
      </w:pPr>
      <w:r>
        <w:t xml:space="preserve">四世界各执行初始加150付费动作的151帧前缀，均为120次前进、30次转向、零碰撞。全部逐帧深度、雷达、位姿、内参、时间戳、非标记RGB和标记掩码在父布局内精确一致，两个类别都被实际观察；8项传感器测试通过。后续实际融合进一步核对共同非标签地图一致。固定可观察背景已有99.22%—99.32%被前缀看见，二维覆盖率C=1；因此该阶段是在背景基本完成后检验三维补看，不能评估二维覆盖推进优势。</w:t>
      </w:r>
    </w:p>
    <w:p>
      <w:pPr>
        <w:pStyle w:val="BodyText"/>
      </w:pPr>
      <w:hyperlink r:id="rId124">
        <w:r>
          <w:rPr>
            <w:rStyle w:val="Hyperlink"/>
          </w:rPr>
          <w:t xml:space="preserve">原V8预注册小实验协议</w:t>
        </w:r>
      </w:hyperlink>
      <w:r>
        <w:t xml:space="preserve">要求先检查背景覆盖、剩余对象表面、共同候选及预算竞争。原准备版在P0东侧入口上失败：观测点云q95目标到最近安全栅格姿态的距离约0.35762m，超过固定0.35m门槛，连带缺少同侧深入角色；P1虽有完整六候选，仍保留原V8整版结构失败且不执行分支。V8.1仅统一点云边界与实际已观测占据格完整边界的坐标口径，复用同四个历史的原始观测、地图和参考，不改变场景、类别先验、0.35m门槛或原评价规则；该修正先于任何未来结果封存。</w:t>
      </w:r>
    </w:p>
    <w:p>
      <w:pPr>
        <w:pStyle w:val="BodyText"/>
      </w:pPr>
      <w:r>
        <w:t xml:space="preserve">V8.1准备版的四组完整共同候选通过原结构检查。实际前缀已知安全朝向图中，单个深入区最短往返38动作、访问双区并返回58动作；无障碍朝向图的双区乐观下界为54，均使用原B=48预算判定。但“机器人无法进入两个深入区”并不保证“相机无法在一路上观察两个对象”，这个区别仍由后续物理分支检验。两父布局来自已看开发块751/752，753/754及独立确认保持未触碰。</w:t>
      </w:r>
    </w:p>
    <w:bookmarkEnd w:id="125"/>
    <w:bookmarkStart w:id="135" w:name="v8.1实际结果面积效率增量与质量排他性失败并存"/>
    <w:p>
      <w:pPr>
        <w:pStyle w:val="Heading3"/>
      </w:pPr>
      <w:r>
        <w:t xml:space="preserve">V8.1实际结果：面积效率增量与质量／排他性失败并存</w:t>
      </w:r>
    </w:p>
    <w:p>
      <w:pPr>
        <w:pStyle w:val="FirstParagraph"/>
      </w:pPr>
      <w:hyperlink r:id="rId126">
        <w:r>
          <w:rPr>
            <w:rStyle w:val="Hyperlink"/>
          </w:rPr>
          <w:t xml:space="preserve">冻结执行结果</w:t>
        </w:r>
      </w:hyperlink>
      <w:r>
        <w:t xml:space="preserve">包含四个历史各六条候选，合计24条真实分支、752个付费动作。所有路线按原动作完整返回，零碰撞、零失败；</w:t>
      </w:r>
      <w:hyperlink r:id="rId127">
        <w:r>
          <w:rPr>
            <w:rStyle w:val="Hyperlink"/>
          </w:rPr>
          <w:t xml:space="preserve">全量独立回放</w:t>
        </w:r>
      </w:hyperlink>
      <w:r>
        <w:t xml:space="preserve">为</w:t>
      </w:r>
      <w:r>
        <w:t xml:space="preserve"> </w:t>
      </w:r>
      <w:r>
        <w:rPr>
          <w:rStyle w:val="VerbatimChar"/>
        </w:rPr>
        <w:t xml:space="preserve">passed_full</w:t>
      </w:r>
      <w:r>
        <w:t xml:space="preserve">，重放原始RGB-D／雷达、独立检查执行守卫、融合网格并复算参考可见性、面积、P/R/F1及48动作J-AUC。另有</w:t>
      </w:r>
      <w:hyperlink r:id="rId128">
        <w:r>
          <w:rPr>
            <w:rStyle w:val="Hyperlink"/>
          </w:rPr>
          <w:t xml:space="preserve">独立选择及算术核对</w:t>
        </w:r>
      </w:hyperlink>
      <w:r>
        <w:t xml:space="preserve">，按封存分数、成本、ID排序恢复全部选择，面积位图求和误差不超过3.56×10⁻¹⁵m²。</w:t>
      </w:r>
    </w:p>
    <w:p>
      <w:pPr>
        <w:pStyle w:val="BodyText"/>
      </w:pPr>
      <w:r>
        <w:t xml:space="preserve">以下为四历史等权均值；面积率是逐历史面积／实际动作数的平均。共同150动作前缀真实付费并单列，不进入本轮预注册的分支面积率分母。S是未训练、未校准的类别条件手工结构先验；它与G/O/N/X/M共用观测几何、候选和物理分支。</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评分器</w:t>
            </w:r>
          </w:p>
        </w:tc>
        <w:tc>
          <w:tcPr/>
          <w:p>
            <w:pPr>
              <w:pStyle w:val="Compact"/>
              <w:jc w:val="right"/>
            </w:pPr>
            <w:r>
              <w:t xml:space="preserve">面积率 (m²/动作)</w:t>
            </w:r>
          </w:p>
        </w:tc>
        <w:tc>
          <w:tcPr/>
          <w:p>
            <w:pPr>
              <w:pStyle w:val="Compact"/>
              <w:jc w:val="right"/>
            </w:pPr>
            <w:r>
              <w:t xml:space="preserve">F1@5cm增量</w:t>
            </w:r>
          </w:p>
        </w:tc>
        <w:tc>
          <w:tcPr/>
          <w:p>
            <w:pPr>
              <w:pStyle w:val="Compact"/>
              <w:jc w:val="right"/>
            </w:pPr>
            <w:r>
              <w:t xml:space="preserve">终点F1@5cm</w:t>
            </w:r>
          </w:p>
        </w:tc>
        <w:tc>
          <w:tcPr/>
          <w:p>
            <w:pPr>
              <w:pStyle w:val="Compact"/>
              <w:jc w:val="right"/>
            </w:pPr>
            <w:r>
              <w:t xml:space="preserve">平均分支动作</w:t>
            </w:r>
          </w:p>
        </w:tc>
        <w:tc>
          <w:tcPr/>
          <w:p>
            <w:pPr>
              <w:pStyle w:val="Compact"/>
              <w:jc w:val="right"/>
            </w:pPr>
            <w:r>
              <w:t xml:space="preserve">分支J-AUC@5cm</w:t>
            </w:r>
          </w:p>
        </w:tc>
      </w:tr>
      <w:tr>
        <w:tc>
          <w:tcPr/>
          <w:p>
            <w:pPr>
              <w:pStyle w:val="Compact"/>
              <w:jc w:val="left"/>
            </w:pPr>
            <w:r>
              <w:t xml:space="preserve">S 正确类别先验</w:t>
            </w:r>
          </w:p>
        </w:tc>
        <w:tc>
          <w:tcPr/>
          <w:p>
            <w:pPr>
              <w:pStyle w:val="Compact"/>
              <w:jc w:val="right"/>
            </w:pPr>
            <w:r>
              <w:t xml:space="preserve">0.180496602</w:t>
            </w:r>
          </w:p>
        </w:tc>
        <w:tc>
          <w:tcPr/>
          <w:p>
            <w:pPr>
              <w:pStyle w:val="Compact"/>
              <w:jc w:val="right"/>
            </w:pPr>
            <w:r>
              <w:t xml:space="preserve">0.019480595</w:t>
            </w:r>
          </w:p>
        </w:tc>
        <w:tc>
          <w:tcPr/>
          <w:p>
            <w:pPr>
              <w:pStyle w:val="Compact"/>
              <w:jc w:val="right"/>
            </w:pPr>
            <w:r>
              <w:t xml:space="preserve">0.980930768</w:t>
            </w:r>
          </w:p>
        </w:tc>
        <w:tc>
          <w:tcPr/>
          <w:p>
            <w:pPr>
              <w:pStyle w:val="Compact"/>
              <w:jc w:val="right"/>
            </w:pPr>
            <w:r>
              <w:t xml:space="preserve">31</w:t>
            </w:r>
          </w:p>
        </w:tc>
        <w:tc>
          <w:tcPr/>
          <w:p>
            <w:pPr>
              <w:pStyle w:val="Compact"/>
              <w:jc w:val="right"/>
            </w:pPr>
            <w:r>
              <w:t xml:space="preserve">0.976038949</w:t>
            </w:r>
          </w:p>
        </w:tc>
      </w:tr>
      <w:tr>
        <w:tc>
          <w:tcPr/>
          <w:p>
            <w:pPr>
              <w:pStyle w:val="Compact"/>
              <w:jc w:val="left"/>
            </w:pPr>
            <w:r>
              <w:t xml:space="preserve">G 几何边缘先验</w:t>
            </w:r>
          </w:p>
        </w:tc>
        <w:tc>
          <w:tcPr/>
          <w:p>
            <w:pPr>
              <w:pStyle w:val="Compact"/>
              <w:jc w:val="right"/>
            </w:pPr>
            <w:r>
              <w:t xml:space="preserve">0.163276841</w:t>
            </w:r>
          </w:p>
        </w:tc>
        <w:tc>
          <w:tcPr/>
          <w:p>
            <w:pPr>
              <w:pStyle w:val="Compact"/>
              <w:jc w:val="right"/>
            </w:pPr>
            <w:r>
              <w:t xml:space="preserve">0.022386938</w:t>
            </w:r>
          </w:p>
        </w:tc>
        <w:tc>
          <w:tcPr/>
          <w:p>
            <w:pPr>
              <w:pStyle w:val="Compact"/>
              <w:jc w:val="right"/>
            </w:pPr>
            <w:r>
              <w:t xml:space="preserve">0.983837112</w:t>
            </w:r>
          </w:p>
        </w:tc>
        <w:tc>
          <w:tcPr/>
          <w:p>
            <w:pPr>
              <w:pStyle w:val="Compact"/>
              <w:jc w:val="right"/>
            </w:pPr>
            <w:r>
              <w:t xml:space="preserve">40</w:t>
            </w:r>
          </w:p>
        </w:tc>
        <w:tc>
          <w:tcPr/>
          <w:p>
            <w:pPr>
              <w:pStyle w:val="Compact"/>
              <w:jc w:val="right"/>
            </w:pPr>
            <w:r>
              <w:t xml:space="preserve">0.976515562</w:t>
            </w:r>
          </w:p>
        </w:tc>
      </w:tr>
      <w:tr>
        <w:tc>
          <w:tcPr/>
          <w:p>
            <w:pPr>
              <w:pStyle w:val="Compact"/>
              <w:jc w:val="left"/>
            </w:pPr>
            <w:r>
              <w:t xml:space="preserve">O 仅对象性</w:t>
            </w:r>
          </w:p>
        </w:tc>
        <w:tc>
          <w:tcPr/>
          <w:p>
            <w:pPr>
              <w:pStyle w:val="Compact"/>
              <w:jc w:val="right"/>
            </w:pPr>
            <w:r>
              <w:t xml:space="preserve">0.163276841</w:t>
            </w:r>
          </w:p>
        </w:tc>
        <w:tc>
          <w:tcPr/>
          <w:p>
            <w:pPr>
              <w:pStyle w:val="Compact"/>
              <w:jc w:val="right"/>
            </w:pPr>
            <w:r>
              <w:t xml:space="preserve">0.022386938</w:t>
            </w:r>
          </w:p>
        </w:tc>
        <w:tc>
          <w:tcPr/>
          <w:p>
            <w:pPr>
              <w:pStyle w:val="Compact"/>
              <w:jc w:val="right"/>
            </w:pPr>
            <w:r>
              <w:t xml:space="preserve">0.983837112</w:t>
            </w:r>
          </w:p>
        </w:tc>
        <w:tc>
          <w:tcPr/>
          <w:p>
            <w:pPr>
              <w:pStyle w:val="Compact"/>
              <w:jc w:val="right"/>
            </w:pPr>
            <w:r>
              <w:t xml:space="preserve">40</w:t>
            </w:r>
          </w:p>
        </w:tc>
        <w:tc>
          <w:tcPr/>
          <w:p>
            <w:pPr>
              <w:pStyle w:val="Compact"/>
              <w:jc w:val="right"/>
            </w:pPr>
            <w:r>
              <w:t xml:space="preserve">0.976515562</w:t>
            </w:r>
          </w:p>
        </w:tc>
      </w:tr>
      <w:tr>
        <w:tc>
          <w:tcPr/>
          <w:p>
            <w:pPr>
              <w:pStyle w:val="Compact"/>
              <w:jc w:val="left"/>
            </w:pPr>
            <w:r>
              <w:t xml:space="preserve">N 已测覆盖／质量</w:t>
            </w:r>
          </w:p>
        </w:tc>
        <w:tc>
          <w:tcPr/>
          <w:p>
            <w:pPr>
              <w:pStyle w:val="Compact"/>
              <w:jc w:val="right"/>
            </w:pPr>
            <w:r>
              <w:t xml:space="preserve">0.081203711</w:t>
            </w:r>
          </w:p>
        </w:tc>
        <w:tc>
          <w:tcPr/>
          <w:p>
            <w:pPr>
              <w:pStyle w:val="Compact"/>
              <w:jc w:val="right"/>
            </w:pPr>
            <w:r>
              <w:t xml:space="preserve">0.010870340</w:t>
            </w:r>
          </w:p>
        </w:tc>
        <w:tc>
          <w:tcPr/>
          <w:p>
            <w:pPr>
              <w:pStyle w:val="Compact"/>
              <w:jc w:val="right"/>
            </w:pPr>
            <w:r>
              <w:t xml:space="preserve">0.972320513</w:t>
            </w:r>
          </w:p>
        </w:tc>
        <w:tc>
          <w:tcPr/>
          <w:p>
            <w:pPr>
              <w:pStyle w:val="Compact"/>
              <w:jc w:val="right"/>
            </w:pPr>
            <w:r>
              <w:t xml:space="preserve">21</w:t>
            </w:r>
          </w:p>
        </w:tc>
        <w:tc>
          <w:tcPr/>
          <w:p>
            <w:pPr>
              <w:pStyle w:val="Compact"/>
              <w:jc w:val="right"/>
            </w:pPr>
            <w:r>
              <w:t xml:space="preserve">0.968907616</w:t>
            </w:r>
          </w:p>
        </w:tc>
      </w:tr>
      <w:tr>
        <w:tc>
          <w:tcPr/>
          <w:p>
            <w:pPr>
              <w:pStyle w:val="Compact"/>
              <w:jc w:val="left"/>
            </w:pPr>
            <w:r>
              <w:t xml:space="preserve">X 交换类别</w:t>
            </w:r>
          </w:p>
        </w:tc>
        <w:tc>
          <w:tcPr/>
          <w:p>
            <w:pPr>
              <w:pStyle w:val="Compact"/>
              <w:jc w:val="right"/>
            </w:pPr>
            <w:r>
              <w:t xml:space="preserve">0.107238851</w:t>
            </w:r>
          </w:p>
        </w:tc>
        <w:tc>
          <w:tcPr/>
          <w:p>
            <w:pPr>
              <w:pStyle w:val="Compact"/>
              <w:jc w:val="right"/>
            </w:pPr>
            <w:r>
              <w:t xml:space="preserve">0.011176121</w:t>
            </w:r>
          </w:p>
        </w:tc>
        <w:tc>
          <w:tcPr/>
          <w:p>
            <w:pPr>
              <w:pStyle w:val="Compact"/>
              <w:jc w:val="right"/>
            </w:pPr>
            <w:r>
              <w:t xml:space="preserve">0.972626294</w:t>
            </w:r>
          </w:p>
        </w:tc>
        <w:tc>
          <w:tcPr/>
          <w:p>
            <w:pPr>
              <w:pStyle w:val="Compact"/>
              <w:jc w:val="right"/>
            </w:pPr>
            <w:r>
              <w:t xml:space="preserve">31</w:t>
            </w:r>
          </w:p>
        </w:tc>
        <w:tc>
          <w:tcPr/>
          <w:p>
            <w:pPr>
              <w:pStyle w:val="Compact"/>
              <w:jc w:val="right"/>
            </w:pPr>
            <w:r>
              <w:t xml:space="preserve">0.969330559</w:t>
            </w:r>
          </w:p>
        </w:tc>
      </w:tr>
      <w:tr>
        <w:tc>
          <w:tcPr/>
          <w:p>
            <w:pPr>
              <w:pStyle w:val="Compact"/>
              <w:jc w:val="left"/>
            </w:pPr>
            <w:r>
              <w:t xml:space="preserve">M 缺失类别</w:t>
            </w:r>
          </w:p>
        </w:tc>
        <w:tc>
          <w:tcPr/>
          <w:p>
            <w:pPr>
              <w:pStyle w:val="Compact"/>
              <w:jc w:val="right"/>
            </w:pPr>
            <w:r>
              <w:t xml:space="preserve">0.163276841</w:t>
            </w:r>
          </w:p>
        </w:tc>
        <w:tc>
          <w:tcPr/>
          <w:p>
            <w:pPr>
              <w:pStyle w:val="Compact"/>
              <w:jc w:val="right"/>
            </w:pPr>
            <w:r>
              <w:t xml:space="preserve">0.022386938</w:t>
            </w:r>
          </w:p>
        </w:tc>
        <w:tc>
          <w:tcPr/>
          <w:p>
            <w:pPr>
              <w:pStyle w:val="Compact"/>
              <w:jc w:val="right"/>
            </w:pPr>
            <w:r>
              <w:t xml:space="preserve">0.983837112</w:t>
            </w:r>
          </w:p>
        </w:tc>
        <w:tc>
          <w:tcPr/>
          <w:p>
            <w:pPr>
              <w:pStyle w:val="Compact"/>
              <w:jc w:val="right"/>
            </w:pPr>
            <w:r>
              <w:t xml:space="preserve">40</w:t>
            </w:r>
          </w:p>
        </w:tc>
        <w:tc>
          <w:tcPr/>
          <w:p>
            <w:pPr>
              <w:pStyle w:val="Compact"/>
              <w:jc w:val="right"/>
            </w:pPr>
            <w:r>
              <w:t xml:space="preserve">0.976515562</w:t>
            </w:r>
          </w:p>
        </w:tc>
      </w:tr>
    </w:tbl>
    <w:p>
      <w:pPr>
        <w:pStyle w:val="BodyText"/>
      </w:pPr>
      <w:r>
        <w:t xml:space="preserve">在这个构造中，正确类别已产生可独立复核的实际面积率增量：S相对G/O高</w:t>
      </w:r>
      <w:r>
        <w:rPr>
          <w:bCs/>
          <w:b/>
        </w:rPr>
        <w:t xml:space="preserve">10.5464%</w:t>
      </w:r>
      <w:r>
        <w:t xml:space="preserve">，也高于交换类别X；M的所有分数及选择精确恢复G。但S的平均终点F1及F1增量比G/O低</w:t>
      </w:r>
      <w:r>
        <w:rPr>
          <w:bCs/>
          <w:b/>
        </w:rPr>
        <w:t xml:space="preserve">0.00290634（0.290634个百分点）</w:t>
      </w:r>
      <w:r>
        <w:t xml:space="preserve">，超过预先允许的0.001损失；分支J-AUC也低0.000476613。S平均执行31动作，G/O执行40动作，实际新增面积分别为5.91668与6.53107m²。提高单位动作效率不意味着获得更多总表面或更好的终点质量，不能改指标或放宽限制后宣布成功。</w:t>
      </w:r>
    </w:p>
    <w:p>
      <w:pPr>
        <w:pStyle w:val="CaptionedFigure"/>
      </w:pPr>
      <w:r>
        <w:drawing>
          <wp:inline>
            <wp:extent cx="6108700" cy="3619970"/>
            <wp:effectExtent b="0" l="0" r="0" t="0"/>
            <wp:docPr descr="V8.1封存选择的四历史面积率与F1增量，黑线为等历史均值，无置信区间" title="" id="130" name="Picture"/>
            <a:graphic>
              <a:graphicData uri="http://schemas.openxmlformats.org/drawingml/2006/picture">
                <pic:pic>
                  <pic:nvPicPr>
                    <pic:cNvPr descr="/root/NSO/docs/research/figures/competition_v8_1_selected_results.png" id="131" name="Picture"/>
                    <pic:cNvPicPr>
                      <a:picLocks noChangeArrowheads="1" noChangeAspect="1"/>
                    </pic:cNvPicPr>
                  </pic:nvPicPr>
                  <pic:blipFill>
                    <a:blip r:embed="rId129"/>
                    <a:stretch>
                      <a:fillRect/>
                    </a:stretch>
                  </pic:blipFill>
                  <pic:spPr bwMode="auto">
                    <a:xfrm>
                      <a:off x="0" y="0"/>
                      <a:ext cx="6108700" cy="3619970"/>
                    </a:xfrm>
                    <a:prstGeom prst="rect">
                      <a:avLst/>
                    </a:prstGeom>
                    <a:noFill/>
                    <a:ln w="9525">
                      <a:noFill/>
                      <a:headEnd/>
                      <a:tailEnd/>
                    </a:ln>
                  </pic:spPr>
                </pic:pic>
              </a:graphicData>
            </a:graphic>
          </wp:inline>
        </w:drawing>
      </w:r>
    </w:p>
    <w:p>
      <w:pPr>
        <w:pStyle w:val="ImageCaption"/>
      </w:pPr>
      <w:r>
        <w:t xml:space="preserve">V8.1封存选择的四历史面积率与F1增量，黑线为等历史均值，无置信区间</w:t>
      </w:r>
    </w:p>
    <w:p>
      <w:pPr>
        <w:pStyle w:val="BodyText"/>
      </w:pPr>
      <w:r>
        <w:t xml:space="preserve">图中保留全部四个相关历史；黑色短横线为等历史均值，没有置信区间或独立样本显著性主张。</w:t>
      </w:r>
      <w:hyperlink r:id="rId132">
        <w:r>
          <w:rPr>
            <w:rStyle w:val="Hyperlink"/>
          </w:rPr>
          <w:t xml:space="preserve">完整中文图注</w:t>
        </w:r>
      </w:hyperlink>
      <w:r>
        <w:t xml:space="preserve">及</w:t>
      </w:r>
      <w:hyperlink r:id="rId133">
        <w:r>
          <w:rPr>
            <w:rStyle w:val="Hyperlink"/>
          </w:rPr>
          <w:t xml:space="preserve">图与数值来源</w:t>
        </w:r>
      </w:hyperlink>
      <w:r>
        <w:t xml:space="preserve">保存了输入和输出身份。输入位姿精确、前缀C=1、人工类别与隐藏结构关联，使该结果只适用于晚期补看机制正控制，不能称自然开放词汇、完整ANS或主流方案优势。</w:t>
      </w:r>
    </w:p>
    <w:p>
      <w:pPr>
        <w:pStyle w:val="BodyText"/>
      </w:pPr>
      <w:r>
        <w:t xml:space="preserve">实测排他性也失败：8/8条预定深入路线对非目标对象的前缀未见表面获取比例超过10%，实际范围为24.52%—100%。因此，图路径的双区预算限制未形成相机观测的排他选择。原V8.1进阶条件同时受质量与排他性限制，必须保留整版失败和全部24条分支；不按结果删除候选、重设主效用或继续采样直到通过。整体门槛解释见</w:t>
      </w:r>
      <w:hyperlink r:id="rId134">
        <w:r>
          <w:rPr>
            <w:rStyle w:val="Hyperlink"/>
          </w:rPr>
          <w:t xml:space="preserve">严格事后分析</w:t>
        </w:r>
      </w:hyperlink>
      <w:r>
        <w:t xml:space="preserve">。</w:t>
      </w:r>
    </w:p>
    <w:bookmarkEnd w:id="135"/>
    <w:bookmarkStart w:id="138" w:name="单项事后目标诊断与下一版设计"/>
    <w:p>
      <w:pPr>
        <w:pStyle w:val="Heading3"/>
      </w:pPr>
      <w:r>
        <w:t xml:space="preserve">单项事后目标诊断与下一版设计</w:t>
      </w:r>
    </w:p>
    <w:p>
      <w:pPr>
        <w:pStyle w:val="FirstParagraph"/>
      </w:pPr>
      <w:r>
        <w:t xml:space="preserve">查看上述24条结果后，另完成</w:t>
      </w:r>
      <w:hyperlink r:id="rId136">
        <w:r>
          <w:rPr>
            <w:rStyle w:val="Hyperlink"/>
          </w:rPr>
          <w:t xml:space="preserve">统一评分目标诊断</w:t>
        </w:r>
      </w:hyperlink>
      <w:r>
        <w:t xml:space="preserve">：对G/O/S/N/X/M全部六种方法应用同一规则“新分数=原封存分数×原计划动作数”，保留原排序同分规则，没有调其他系数、训练、校准、新候选或新物理分支。它消除了原代理的单位动作归一化，仍不是真实面积或F1的校准预测。因为规则在看过结果后提出，必须单列为事后开发诊断，原V8.1的失败判定完全保留。</w:t>
      </w:r>
    </w:p>
    <w:p>
      <w:pPr>
        <w:pStyle w:val="BodyText"/>
      </w:pPr>
      <w:r>
        <w:t xml:space="preserve">该诊断使所有方法在全部历史选择42动作路线，含原前缀总成本均为192动作，仍有6个分支预算动作未使用。同成本下的结果如下；G/O/N/M在该规则下同选，逐方法与逐历史完整数据仍分别保留。</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事后统一总量评分</w:t>
            </w:r>
          </w:p>
        </w:tc>
        <w:tc>
          <w:tcPr/>
          <w:p>
            <w:pPr>
              <w:pStyle w:val="Compact"/>
              <w:jc w:val="right"/>
            </w:pPr>
            <w:r>
              <w:t xml:space="preserve">新增面积 (m²)</w:t>
            </w:r>
          </w:p>
        </w:tc>
        <w:tc>
          <w:tcPr/>
          <w:p>
            <w:pPr>
              <w:pStyle w:val="Compact"/>
              <w:jc w:val="right"/>
            </w:pPr>
            <w:r>
              <w:t xml:space="preserve">面积率 (m²/动作)</w:t>
            </w:r>
          </w:p>
        </w:tc>
        <w:tc>
          <w:tcPr/>
          <w:p>
            <w:pPr>
              <w:pStyle w:val="Compact"/>
              <w:jc w:val="right"/>
            </w:pPr>
            <w:r>
              <w:t xml:space="preserve">终点F1@5cm</w:t>
            </w:r>
          </w:p>
        </w:tc>
        <w:tc>
          <w:tcPr/>
          <w:p>
            <w:pPr>
              <w:pStyle w:val="Compact"/>
              <w:jc w:val="right"/>
            </w:pPr>
            <w:r>
              <w:t xml:space="preserve">分支J-AUC@5cm</w:t>
            </w:r>
          </w:p>
        </w:tc>
        <w:tc>
          <w:tcPr/>
          <w:p>
            <w:pPr>
              <w:pStyle w:val="Compact"/>
              <w:jc w:val="right"/>
            </w:pPr>
            <w:r>
              <w:t xml:space="preserve">实际分支动作</w:t>
            </w:r>
          </w:p>
        </w:tc>
      </w:tr>
      <w:tr>
        <w:tc>
          <w:tcPr/>
          <w:p>
            <w:pPr>
              <w:pStyle w:val="Compact"/>
              <w:jc w:val="left"/>
            </w:pPr>
            <w:r>
              <w:t xml:space="preserve">S</w:t>
            </w:r>
          </w:p>
        </w:tc>
        <w:tc>
          <w:tcPr/>
          <w:p>
            <w:pPr>
              <w:pStyle w:val="Compact"/>
              <w:jc w:val="right"/>
            </w:pPr>
            <w:r>
              <w:t xml:space="preserve">9.236705</w:t>
            </w:r>
          </w:p>
        </w:tc>
        <w:tc>
          <w:tcPr/>
          <w:p>
            <w:pPr>
              <w:pStyle w:val="Compact"/>
              <w:jc w:val="right"/>
            </w:pPr>
            <w:r>
              <w:t xml:space="preserve">0.219921543</w:t>
            </w:r>
          </w:p>
        </w:tc>
        <w:tc>
          <w:tcPr/>
          <w:p>
            <w:pPr>
              <w:pStyle w:val="Compact"/>
              <w:jc w:val="right"/>
            </w:pPr>
            <w:r>
              <w:t xml:space="preserve">0.994698257</w:t>
            </w:r>
          </w:p>
        </w:tc>
        <w:tc>
          <w:tcPr/>
          <w:p>
            <w:pPr>
              <w:pStyle w:val="Compact"/>
              <w:jc w:val="right"/>
            </w:pPr>
            <w:r>
              <w:t xml:space="preserve">0.983925363</w:t>
            </w:r>
          </w:p>
        </w:tc>
        <w:tc>
          <w:tcPr/>
          <w:p>
            <w:pPr>
              <w:pStyle w:val="Compact"/>
              <w:jc w:val="right"/>
            </w:pPr>
            <w:r>
              <w:t xml:space="preserve">42</w:t>
            </w:r>
          </w:p>
        </w:tc>
      </w:tr>
      <w:tr>
        <w:tc>
          <w:tcPr/>
          <w:p>
            <w:pPr>
              <w:pStyle w:val="Compact"/>
              <w:jc w:val="left"/>
            </w:pPr>
            <w:r>
              <w:t xml:space="preserve">G／O／N／M（四者分别同选）</w:t>
            </w:r>
          </w:p>
        </w:tc>
        <w:tc>
          <w:tcPr/>
          <w:p>
            <w:pPr>
              <w:pStyle w:val="Compact"/>
              <w:jc w:val="right"/>
            </w:pPr>
            <w:r>
              <w:t xml:space="preserve">6.853338</w:t>
            </w:r>
          </w:p>
        </w:tc>
        <w:tc>
          <w:tcPr/>
          <w:p>
            <w:pPr>
              <w:pStyle w:val="Compact"/>
              <w:jc w:val="right"/>
            </w:pPr>
            <w:r>
              <w:t xml:space="preserve">0.163174719</w:t>
            </w:r>
          </w:p>
        </w:tc>
        <w:tc>
          <w:tcPr/>
          <w:p>
            <w:pPr>
              <w:pStyle w:val="Compact"/>
              <w:jc w:val="right"/>
            </w:pPr>
            <w:r>
              <w:t xml:space="preserve">0.984909817</w:t>
            </w:r>
          </w:p>
        </w:tc>
        <w:tc>
          <w:tcPr/>
          <w:p>
            <w:pPr>
              <w:pStyle w:val="Compact"/>
              <w:jc w:val="right"/>
            </w:pPr>
            <w:r>
              <w:t xml:space="preserve">0.976582577</w:t>
            </w:r>
          </w:p>
        </w:tc>
        <w:tc>
          <w:tcPr/>
          <w:p>
            <w:pPr>
              <w:pStyle w:val="Compact"/>
              <w:jc w:val="right"/>
            </w:pPr>
            <w:r>
              <w:t xml:space="preserve">42</w:t>
            </w:r>
          </w:p>
        </w:tc>
      </w:tr>
      <w:tr>
        <w:tc>
          <w:tcPr/>
          <w:p>
            <w:pPr>
              <w:pStyle w:val="Compact"/>
              <w:jc w:val="left"/>
            </w:pPr>
            <w:r>
              <w:t xml:space="preserve">X</w:t>
            </w:r>
          </w:p>
        </w:tc>
        <w:tc>
          <w:tcPr/>
          <w:p>
            <w:pPr>
              <w:pStyle w:val="Compact"/>
              <w:jc w:val="right"/>
            </w:pPr>
            <w:r>
              <w:t xml:space="preserve">4.537207</w:t>
            </w:r>
          </w:p>
        </w:tc>
        <w:tc>
          <w:tcPr/>
          <w:p>
            <w:pPr>
              <w:pStyle w:val="Compact"/>
              <w:jc w:val="right"/>
            </w:pPr>
            <w:r>
              <w:t xml:space="preserve">0.108028730</w:t>
            </w:r>
          </w:p>
        </w:tc>
        <w:tc>
          <w:tcPr/>
          <w:p>
            <w:pPr>
              <w:pStyle w:val="Compact"/>
              <w:jc w:val="right"/>
            </w:pPr>
            <w:r>
              <w:t xml:space="preserve">0.979299608</w:t>
            </w:r>
          </w:p>
        </w:tc>
        <w:tc>
          <w:tcPr/>
          <w:p>
            <w:pPr>
              <w:pStyle w:val="Compact"/>
              <w:jc w:val="right"/>
            </w:pPr>
            <w:r>
              <w:t xml:space="preserve">0.972319926</w:t>
            </w:r>
          </w:p>
        </w:tc>
        <w:tc>
          <w:tcPr/>
          <w:p>
            <w:pPr>
              <w:pStyle w:val="Compact"/>
              <w:jc w:val="right"/>
            </w:pPr>
            <w:r>
              <w:t xml:space="preserve">42</w:t>
            </w:r>
          </w:p>
        </w:tc>
      </w:tr>
    </w:tbl>
    <w:p>
      <w:pPr>
        <w:pStyle w:val="BodyText"/>
      </w:pPr>
      <w:r>
        <w:t xml:space="preserve">S相对这些内部几何／对象性对照的同成本面积及面积率高约34.7767%，终点F1高0.00978844。这提供了具体开发线索：原“单位动作效率”与有限预算内“累计观测及终点质量”目标不一致，且正确类别条件在调整共同目标后仍可能有净增量。但这些是同一已看数据上的新选择，不能写成独立验证，更不能覆盖原S的终点质量损失或8/8深入路线排他性失败。所有比较对象仍是内部对照，尚无主流原作者完整系统比较。</w:t>
      </w:r>
    </w:p>
    <w:p>
      <w:pPr>
        <w:pStyle w:val="BodyText"/>
      </w:pPr>
      <w:hyperlink r:id="rId137">
        <w:r>
          <w:rPr>
            <w:rStyle w:val="Hyperlink"/>
          </w:rPr>
          <w:t xml:space="preserve">V9预算一致设计</w:t>
        </w:r>
      </w:hyperlink>
      <w:r>
        <w:t xml:space="preserve">据此提出下一步：对完整路线中对象与背景的共同观测去重，在统一剩余预算内区分终点联合质量和全程联合AUC，而不是只优化单段面积率。跨对象顺带观测允许进入完整收益预测，但不能据此追溯放宽原10%排他门槛。先为新的有限训练／校准父上下文、完整预算候选、传感器条件和所有进阶条件建立冻结协议，再检验类别响应及先验失配；753/754与独立确认继续保留未触碰。通过机制门槛后，再将经验证的内部算法接入ANS全局／局部层次及OV-SDF、STGHP、RPN-UQ、IGCR四模块调用链，补齐去除实验、主流基线和实车验证。原V9及V9.1的新几何执行进展见下节；完整系统仍未实现或验证。</w:t>
      </w:r>
    </w:p>
    <w:bookmarkEnd w:id="138"/>
    <w:bookmarkStart w:id="144" w:name="v9.1-新几何确认失败门槛与候选池上限"/>
    <w:p>
      <w:pPr>
        <w:pStyle w:val="Heading3"/>
      </w:pPr>
      <w:r>
        <w:t xml:space="preserve">V9.1 新几何确认、失败门槛与候选池上限</w:t>
      </w:r>
    </w:p>
    <w:p>
      <w:pPr>
        <w:pStyle w:val="FirstParagraph"/>
      </w:pPr>
      <w:r>
        <w:t xml:space="preserve">V9首次构造前固定四种宽深组合及噪声条件。全部1208对RGB-D/雷达前缀观测及实际X/M标签映射通过独立审查，但Q3当前已知安全空间不允许第二个更深视点，原六候选门槛失败，未来路线数为零。V9.1在未来收益揭示前修订为真实可达候选数可变，保留全部八个场景、44条原路线、原评分和原始数据；原失败没有回写为通过。详见</w:t>
      </w:r>
      <w:hyperlink r:id="rId139">
        <w:r>
          <w:rPr>
            <w:rStyle w:val="Hyperlink"/>
          </w:rPr>
          <w:t xml:space="preserve">根因及理论</w:t>
        </w:r>
      </w:hyperlink>
      <w:r>
        <w:t xml:space="preserve">。</w:t>
      </w:r>
    </w:p>
    <w:p>
      <w:pPr>
        <w:pStyle w:val="BodyText"/>
      </w:pPr>
      <w:r>
        <w:t xml:space="preserve">44条路线共执行1328个后续动作，均到达原目标并返回原位置和朝向，零碰撞与失败；全量独立重放传感器、网格、完整足迹、带朝向BFS返程、面积、F1及48动作稀疏AUC通过。另有3479项不依赖主分析器的数值核验，最大误差7.11×10⁻¹⁵。原始运行、源码封存和两次独立复核入口见</w:t>
      </w:r>
      <w:hyperlink r:id="rId21">
        <w:r>
          <w:rPr>
            <w:rStyle w:val="Hyperlink"/>
          </w:rPr>
          <w:t xml:space="preserve">完整结果</w:t>
        </w:r>
      </w:hyperlink>
      <w:r>
        <w:t xml:space="preserve">。</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总收益评分方法</w:t>
            </w:r>
          </w:p>
        </w:tc>
        <w:tc>
          <w:tcPr/>
          <w:p>
            <w:pPr>
              <w:pStyle w:val="Compact"/>
              <w:jc w:val="right"/>
            </w:pPr>
            <w:r>
              <w:t xml:space="preserve">新增表面 m²</w:t>
            </w:r>
          </w:p>
        </w:tc>
        <w:tc>
          <w:tcPr/>
          <w:p>
            <w:pPr>
              <w:pStyle w:val="Compact"/>
              <w:jc w:val="right"/>
            </w:pPr>
            <w:r>
              <w:t xml:space="preserve">终点 F1@5cm</w:t>
            </w:r>
          </w:p>
        </w:tc>
        <w:tc>
          <w:tcPr/>
          <w:p>
            <w:pPr>
              <w:pStyle w:val="Compact"/>
              <w:jc w:val="right"/>
            </w:pPr>
            <w:r>
              <w:t xml:space="preserve">终点精确率</w:t>
            </w:r>
          </w:p>
        </w:tc>
        <w:tc>
          <w:tcPr/>
          <w:p>
            <w:pPr>
              <w:pStyle w:val="Compact"/>
              <w:jc w:val="right"/>
            </w:pPr>
            <w:r>
              <w:t xml:space="preserve">终点召回率</w:t>
            </w:r>
          </w:p>
        </w:tc>
        <w:tc>
          <w:tcPr/>
          <w:p>
            <w:pPr>
              <w:pStyle w:val="Compact"/>
              <w:jc w:val="right"/>
            </w:pPr>
            <w:r>
              <w:t xml:space="preserve">48动作联合AUC</w:t>
            </w:r>
          </w:p>
        </w:tc>
        <w:tc>
          <w:tcPr/>
          <w:p>
            <w:pPr>
              <w:pStyle w:val="Compact"/>
              <w:jc w:val="right"/>
            </w:pPr>
            <w:r>
              <w:t xml:space="preserve">平均付费动作</w:t>
            </w:r>
          </w:p>
        </w:tc>
      </w:tr>
      <w:tr>
        <w:tc>
          <w:tcPr/>
          <w:p>
            <w:pPr>
              <w:pStyle w:val="Compact"/>
              <w:jc w:val="left"/>
            </w:pPr>
            <w:r>
              <w:t xml:space="preserve">G／O／M（分别同选）</w:t>
            </w:r>
          </w:p>
        </w:tc>
        <w:tc>
          <w:tcPr/>
          <w:p>
            <w:pPr>
              <w:pStyle w:val="Compact"/>
              <w:jc w:val="right"/>
            </w:pPr>
            <w:r>
              <w:t xml:space="preserve">6.916339</w:t>
            </w:r>
          </w:p>
        </w:tc>
        <w:tc>
          <w:tcPr/>
          <w:p>
            <w:pPr>
              <w:pStyle w:val="Compact"/>
              <w:jc w:val="right"/>
            </w:pPr>
            <w:r>
              <w:t xml:space="preserve">0.986508817</w:t>
            </w:r>
          </w:p>
        </w:tc>
        <w:tc>
          <w:tcPr/>
          <w:p>
            <w:pPr>
              <w:pStyle w:val="Compact"/>
              <w:jc w:val="right"/>
            </w:pPr>
            <w:r>
              <w:t xml:space="preserve">0.997125</w:t>
            </w:r>
          </w:p>
        </w:tc>
        <w:tc>
          <w:tcPr/>
          <w:p>
            <w:pPr>
              <w:pStyle w:val="Compact"/>
              <w:jc w:val="right"/>
            </w:pPr>
            <w:r>
              <w:t xml:space="preserve">0.976210</w:t>
            </w:r>
          </w:p>
        </w:tc>
        <w:tc>
          <w:tcPr/>
          <w:p>
            <w:pPr>
              <w:pStyle w:val="Compact"/>
              <w:jc w:val="right"/>
            </w:pPr>
            <w:r>
              <w:t xml:space="preserve">0.977506106</w:t>
            </w:r>
          </w:p>
        </w:tc>
        <w:tc>
          <w:tcPr/>
          <w:p>
            <w:pPr>
              <w:pStyle w:val="Compact"/>
              <w:jc w:val="right"/>
            </w:pPr>
            <w:r>
              <w:t xml:space="preserve">42</w:t>
            </w:r>
          </w:p>
        </w:tc>
      </w:tr>
      <w:tr>
        <w:tc>
          <w:tcPr/>
          <w:p>
            <w:pPr>
              <w:pStyle w:val="Compact"/>
              <w:jc w:val="left"/>
            </w:pPr>
            <w:r>
              <w:t xml:space="preserve">N：覆盖与已测质量</w:t>
            </w:r>
          </w:p>
        </w:tc>
        <w:tc>
          <w:tcPr/>
          <w:p>
            <w:pPr>
              <w:pStyle w:val="Compact"/>
              <w:jc w:val="right"/>
            </w:pPr>
            <w:r>
              <w:t xml:space="preserve">6.985653</w:t>
            </w:r>
          </w:p>
        </w:tc>
        <w:tc>
          <w:tcPr/>
          <w:p>
            <w:pPr>
              <w:pStyle w:val="Compact"/>
              <w:jc w:val="right"/>
            </w:pPr>
            <w:r>
              <w:t xml:space="preserve">0.989400792</w:t>
            </w:r>
          </w:p>
        </w:tc>
        <w:tc>
          <w:tcPr/>
          <w:p>
            <w:pPr>
              <w:pStyle w:val="Compact"/>
              <w:jc w:val="right"/>
            </w:pPr>
            <w:r>
              <w:t xml:space="preserve">0.997125</w:t>
            </w:r>
          </w:p>
        </w:tc>
        <w:tc>
          <w:tcPr/>
          <w:p>
            <w:pPr>
              <w:pStyle w:val="Compact"/>
              <w:jc w:val="right"/>
            </w:pPr>
            <w:r>
              <w:t xml:space="preserve">0.981887</w:t>
            </w:r>
          </w:p>
        </w:tc>
        <w:tc>
          <w:tcPr/>
          <w:p>
            <w:pPr>
              <w:pStyle w:val="Compact"/>
              <w:jc w:val="right"/>
            </w:pPr>
            <w:r>
              <w:t xml:space="preserve">0.979966703</w:t>
            </w:r>
          </w:p>
        </w:tc>
        <w:tc>
          <w:tcPr/>
          <w:p>
            <w:pPr>
              <w:pStyle w:val="Compact"/>
              <w:jc w:val="right"/>
            </w:pPr>
            <w:r>
              <w:t xml:space="preserve">42</w:t>
            </w:r>
          </w:p>
        </w:tc>
      </w:tr>
      <w:tr>
        <w:tc>
          <w:tcPr/>
          <w:p>
            <w:pPr>
              <w:pStyle w:val="Compact"/>
              <w:jc w:val="left"/>
            </w:pPr>
            <w:r>
              <w:t xml:space="preserve">S：正确类别</w:t>
            </w:r>
          </w:p>
        </w:tc>
        <w:tc>
          <w:tcPr/>
          <w:p>
            <w:pPr>
              <w:pStyle w:val="Compact"/>
              <w:jc w:val="right"/>
            </w:pPr>
            <w:r>
              <w:t xml:space="preserve">8.927856</w:t>
            </w:r>
          </w:p>
        </w:tc>
        <w:tc>
          <w:tcPr/>
          <w:p>
            <w:pPr>
              <w:pStyle w:val="Compact"/>
              <w:jc w:val="right"/>
            </w:pPr>
            <w:r>
              <w:t xml:space="preserve">0.993105438</w:t>
            </w:r>
          </w:p>
        </w:tc>
        <w:tc>
          <w:tcPr/>
          <w:p>
            <w:pPr>
              <w:pStyle w:val="Compact"/>
              <w:jc w:val="right"/>
            </w:pPr>
            <w:r>
              <w:t xml:space="preserve">0.997167</w:t>
            </w:r>
          </w:p>
        </w:tc>
        <w:tc>
          <w:tcPr/>
          <w:p>
            <w:pPr>
              <w:pStyle w:val="Compact"/>
              <w:jc w:val="right"/>
            </w:pPr>
            <w:r>
              <w:t xml:space="preserve">0.989098</w:t>
            </w:r>
          </w:p>
        </w:tc>
        <w:tc>
          <w:tcPr/>
          <w:p>
            <w:pPr>
              <w:pStyle w:val="Compact"/>
              <w:jc w:val="right"/>
            </w:pPr>
            <w:r>
              <w:t xml:space="preserve">0.982951760</w:t>
            </w:r>
          </w:p>
        </w:tc>
        <w:tc>
          <w:tcPr/>
          <w:p>
            <w:pPr>
              <w:pStyle w:val="Compact"/>
              <w:jc w:val="right"/>
            </w:pPr>
            <w:r>
              <w:t xml:space="preserve">42</w:t>
            </w:r>
          </w:p>
        </w:tc>
      </w:tr>
      <w:tr>
        <w:tc>
          <w:tcPr/>
          <w:p>
            <w:pPr>
              <w:pStyle w:val="Compact"/>
              <w:jc w:val="left"/>
            </w:pPr>
            <w:r>
              <w:t xml:space="preserve">X：交换类别</w:t>
            </w:r>
          </w:p>
        </w:tc>
        <w:tc>
          <w:tcPr/>
          <w:p>
            <w:pPr>
              <w:pStyle w:val="Compact"/>
              <w:jc w:val="right"/>
            </w:pPr>
            <w:r>
              <w:t xml:space="preserve">4.753527</w:t>
            </w:r>
          </w:p>
        </w:tc>
        <w:tc>
          <w:tcPr/>
          <w:p>
            <w:pPr>
              <w:pStyle w:val="Compact"/>
              <w:jc w:val="right"/>
            </w:pPr>
            <w:r>
              <w:t xml:space="preserve">0.979776227</w:t>
            </w:r>
          </w:p>
        </w:tc>
        <w:tc>
          <w:tcPr/>
          <w:p>
            <w:pPr>
              <w:pStyle w:val="Compact"/>
              <w:jc w:val="right"/>
            </w:pPr>
            <w:r>
              <w:t xml:space="preserve">0.997708</w:t>
            </w:r>
          </w:p>
        </w:tc>
        <w:tc>
          <w:tcPr/>
          <w:p>
            <w:pPr>
              <w:pStyle w:val="Compact"/>
              <w:jc w:val="right"/>
            </w:pPr>
            <w:r>
              <w:t xml:space="preserve">0.962506</w:t>
            </w:r>
          </w:p>
        </w:tc>
        <w:tc>
          <w:tcPr/>
          <w:p>
            <w:pPr>
              <w:pStyle w:val="Compact"/>
              <w:jc w:val="right"/>
            </w:pPr>
            <w:r>
              <w:t xml:space="preserve">0.972301258</w:t>
            </w:r>
          </w:p>
        </w:tc>
        <w:tc>
          <w:tcPr/>
          <w:p>
            <w:pPr>
              <w:pStyle w:val="Compact"/>
              <w:jc w:val="right"/>
            </w:pPr>
            <w:r>
              <w:t xml:space="preserve">42</w:t>
            </w:r>
          </w:p>
        </w:tc>
      </w:tr>
    </w:tbl>
    <w:p>
      <w:pPr>
        <w:pStyle w:val="BodyText"/>
      </w:pPr>
      <w:r>
        <w:t xml:space="preserve">所有方法共用同一候选池，均值按四父场景、每父场景两种安排等权，不能按44路线数量加权。正确类别的面积和F1相对G/O/N在四组中均为正，X变差，M严格回退G。主要增益是重建召回与完整性，精确率变化很小，不能解释为毫米级几何精度显著改善。所有total方法终点C=1，C×F1与F1相同；这是晚期补看场景，不是未知大环境的覆盖效率证明。</w:t>
      </w:r>
    </w:p>
    <w:p>
      <w:pPr>
        <w:pStyle w:val="CaptionedFigure"/>
      </w:pPr>
      <w:r>
        <w:drawing>
          <wp:inline>
            <wp:extent cx="6108700" cy="2626741"/>
            <wp:effectExtent b="0" l="0" r="0" t="0"/>
            <wp:docPr descr="V9.1同成本语义比较；彩色点是每父场景两安排均值，横线为总均值，无置信区间" title="" id="141" name="Picture"/>
            <a:graphic>
              <a:graphicData uri="http://schemas.openxmlformats.org/drawingml/2006/picture">
                <pic:pic>
                  <pic:nvPicPr>
                    <pic:cNvPr descr="/root/NSO/docs/research/figures/competition_v9_1_selected_results.png" id="142" name="Picture"/>
                    <pic:cNvPicPr>
                      <a:picLocks noChangeArrowheads="1" noChangeAspect="1"/>
                    </pic:cNvPicPr>
                  </pic:nvPicPr>
                  <pic:blipFill>
                    <a:blip r:embed="rId140"/>
                    <a:stretch>
                      <a:fillRect/>
                    </a:stretch>
                  </pic:blipFill>
                  <pic:spPr bwMode="auto">
                    <a:xfrm>
                      <a:off x="0" y="0"/>
                      <a:ext cx="6108700" cy="2626741"/>
                    </a:xfrm>
                    <a:prstGeom prst="rect">
                      <a:avLst/>
                    </a:prstGeom>
                    <a:noFill/>
                    <a:ln w="9525">
                      <a:noFill/>
                      <a:headEnd/>
                      <a:tailEnd/>
                    </a:ln>
                  </pic:spPr>
                </pic:pic>
              </a:graphicData>
            </a:graphic>
          </wp:inline>
        </w:drawing>
      </w:r>
    </w:p>
    <w:p>
      <w:pPr>
        <w:pStyle w:val="ImageCaption"/>
      </w:pPr>
      <w:r>
        <w:t xml:space="preserve">V9.1同成本语义比较；彩色点是每父场景两安排均值，横线为总均值，无置信区间</w:t>
      </w:r>
    </w:p>
    <w:p>
      <w:pPr>
        <w:pStyle w:val="BodyText"/>
      </w:pPr>
      <w:r>
        <w:t xml:space="preserve">冻结状态为</w:t>
      </w:r>
      <w:r>
        <w:t xml:space="preserve"> </w:t>
      </w:r>
      <w:r>
        <w:rPr>
          <w:rStyle w:val="VerbatimChar"/>
        </w:rPr>
        <w:t xml:space="preserve">failed_prospective_gates</w:t>
      </w:r>
      <w:r>
        <w:t xml:space="preserve">：仅S对N的终点F1和C×F1幅度未达到+0.005，其他效果与安全条件通过。完整候选池给出严格事后诊断上界：八个历史S均达到其池内最高F1，regret为0；即使提前知道所有未来结果，最优路线对N的均值增幅也只有0.003704645981。因此重新排列这些已执行路线无法达到0.005门槛。原失败保留；这个上界不是在线GT输入，不是新策略或成功判定。</w:t>
      </w:r>
    </w:p>
    <w:p>
      <w:pPr>
        <w:pStyle w:val="BodyText"/>
      </w:pPr>
      <w:r>
        <w:t xml:space="preserve">四父场景全正时单侧符号检验最小p=0.0625，不能声称p&lt;0.05或广泛泛化。人工类别标记、手工未校准先验、精确输入位姿、短路线终止后保持地图，以及平均6个剩余动作未再规划，都是明确限制。新的科学结论是有限域语义条件贡献可复核，完整方案优势仍待证。</w:t>
      </w:r>
    </w:p>
    <w:p>
      <w:pPr>
        <w:pStyle w:val="BodyText"/>
      </w:pPr>
      <w:r>
        <w:t xml:space="preserve">下一阶段实施</w:t>
      </w:r>
      <w:hyperlink r:id="rId143">
        <w:r>
          <w:rPr>
            <w:rStyle w:val="Hyperlink"/>
          </w:rPr>
          <w:t xml:space="preserve">V10四模块CPU闭环合同</w:t>
        </w:r>
      </w:hyperlink>
      <w:r>
        <w:t xml:space="preserve">：以真实深度语义状态输入四接口，保存目标朝向与返程预算，目标结束后继续使用剩余预算；终止帧先结算后reset，实际收益反馈必须改变下一轮需求与选路。通过真实调用、模块消融及完整任务后，再验证主流原实现/明确适配基线、非理想位姿和ROS1实车数据。</w:t>
      </w:r>
    </w:p>
    <w:bookmarkEnd w:id="144"/>
    <w:bookmarkEnd w:id="145"/>
    <w:bookmarkStart w:id="146" w:name="八回校实车验证的前置条件"/>
    <w:p>
      <w:pPr>
        <w:pStyle w:val="Heading2"/>
      </w:pPr>
      <w:r>
        <w:t xml:space="preserve">八、回校实车验证的前置条件</w:t>
      </w:r>
    </w:p>
    <w:p>
      <w:pPr>
        <w:pStyle w:val="FirstParagraph"/>
      </w:pPr>
      <w:r>
        <w:t xml:space="preserve">已知小车运行 ROS 1，ZED 能发布深度和位姿，并配有单线雷达、IMU 与 GPS。当前开发机没有 GPU，可以继续采用已有 CPU TSDF 后端和可替换的语义输入；车载计算平台具体型号未确认，不预设 Jetson 或 NVIDIA 能力。硬件信息来自项目现有记录，不作为性能验证。</w:t>
      </w:r>
    </w:p>
    <w:p>
      <w:pPr>
        <w:pStyle w:val="BodyText"/>
      </w:pPr>
      <w:r>
        <w:t xml:space="preserve">回校前应准备统一的 RGB-D、内参、时间戳、相机位姿与独立雷达位姿契约，以及录制、回放、质量检查与目标尝试日志。回校后先录一段短路线核对深度单位、光学坐标、相机／雷达外参和同步，再做一个工作单元、一个走廊和多个工作单元的递进验证。固定 bag 可验证感知与重建，却不能证明主动策略能够采到其中不存在的视点。</w:t>
      </w:r>
    </w:p>
    <w:p>
      <w:pPr>
        <w:pStyle w:val="BodyText"/>
      </w:pPr>
      <w:r>
        <w:t xml:space="preserve">运动接口通过 ROS 导航目标及成功／超时／取消反馈接入，不能把虚拟环境的 0.2m／90°离散动作直接转成底盘速度。所有方法使用相同速度、图像率、位姿来源和重建参数；IMU／GPS 由现有定位系统处理，除非实际实现并验证，否则不宣称新增融合算法。真实几何误差需要独立参考；只有定性网格图不足以证明精度。</w:t>
      </w:r>
    </w:p>
    <w:bookmarkEnd w:id="146"/>
    <w:bookmarkStart w:id="147" w:name="九论文主张与写作边界"/>
    <w:p>
      <w:pPr>
        <w:pStyle w:val="Heading2"/>
      </w:pPr>
      <w:r>
        <w:t xml:space="preserve">九、论文主张与写作边界</w:t>
      </w:r>
    </w:p>
    <w:p>
      <w:pPr>
        <w:pStyle w:val="FirstParagraph"/>
      </w:pPr>
      <w:r>
        <w:t xml:space="preserve">建议论文题目收敛为“面向设施覆盖建图的语义增强层次化主动探索”，在真实估计位姿闭环完成后再决定标题是否强调主动 SLAM。ANS 双层结构与四模块名称可以保持，贡献重点落在语义观测需求、覆盖约束下的分配和实测收益反馈。论文不必声称全场景最优，但必须说明适用域、负控制和失败边界。</w:t>
      </w:r>
    </w:p>
    <w:p>
      <w:pPr>
        <w:pStyle w:val="BodyText"/>
      </w:pPr>
      <w:r>
        <w:t xml:space="preserve">原论文草稿中的 92.4% 覆盖、11.9cm 漂移、20 场景显著优于所有基线、开放词汇零样本增益等数字没有对应可复核记录，已从当前正文移除并保留标为未验证的历史稿。原稿中不准确的相关工作引用已替换为核实的一手文献，当前可用来源与 BibTeX 同步保存。</w:t>
      </w:r>
      <w:r>
        <w:t xml:space="preserve">“</w:t>
      </w:r>
      <w:r>
        <w:t xml:space="preserve">首次</w:t>
      </w:r>
      <w:r>
        <w:t xml:space="preserve">”</w:t>
      </w:r>
      <w:r>
        <w:t xml:space="preserve">“</w:t>
      </w:r>
      <w:r>
        <w:t xml:space="preserve">从根源消除震荡</w:t>
      </w:r>
      <w:r>
        <w:t xml:space="preserve">”</w:t>
      </w:r>
      <w:r>
        <w:t xml:space="preserve">“</w:t>
      </w:r>
      <w:r>
        <w:t xml:space="preserve">次模保证完整闭环最优</w:t>
      </w:r>
      <w:r>
        <w:t xml:space="preserve">”</w:t>
      </w:r>
      <w:r>
        <w:t xml:space="preserve">等措辞应撤去，改成可核验的具体设计和条件命题。</w:t>
      </w:r>
    </w:p>
    <w:p>
      <w:pPr>
        <w:pStyle w:val="BodyText"/>
      </w:pPr>
      <w:r>
        <w:t xml:space="preserve">目前可以写入方法章的是任务定义、模块接口、条件性理论及已实现机制；可以写入实验章的是标明范围的开发结果和复核方法。尚未完成的完整系统、官方主流对照和真实视觉泛化应写为待验证事项。确认实验通过后，再依据预定的领域和指标撰写有数值支持的优势结论。</w:t>
      </w:r>
    </w:p>
    <w:bookmarkEnd w:id="147"/>
    <w:bookmarkStart w:id="149" w:name="v10接口因果成立冷启动推进仍失败"/>
    <w:p>
      <w:pPr>
        <w:pStyle w:val="Heading2"/>
      </w:pPr>
      <w:r>
        <w:t xml:space="preserve">V10：接口因果成立，冷启动推进仍失败</w:t>
      </w:r>
    </w:p>
    <w:p>
      <w:pPr>
        <w:pStyle w:val="FirstParagraph"/>
      </w:pPr>
      <w:r>
        <w:t xml:space="preserve">本轮保留原四模块组件接口与ANS全局—局部层次，接入完整传感包、全朝向目标、固定锚点返程和实际反馈。38项V10检查及11项旧兼容检查通过。RPN的CPU确定性守卫没有训练概率；OV-SDF使用人工RGB类别和实测深度，不等于自然开放词汇验证。</w:t>
      </w:r>
    </w:p>
    <w:p>
      <w:pPr>
        <w:pStyle w:val="BodyText"/>
      </w:pPr>
      <w:r>
        <w:t xml:space="preserve">同一真实151帧前缀的原类别、交换类别、缺失类别经实际组件接口处理，34项检查通过。交换类别将深观察目标由左侧改到右侧，几何、候选、重建及G/N分数保持一致；交换S等于原X，缺失S等于原G。该试验没有新路线执行或GT读取，只证明语义条件影响真实接口决策。</w:t>
      </w:r>
    </w:p>
    <w:p>
      <w:pPr>
        <w:pStyle w:val="BodyText"/>
      </w:pPr>
      <w:r>
        <w:t xml:space="preserve">从初始帧开始的32动作轨迹完成33组RGB-D/雷达、47条候选、25次全局选择、32次反馈和最终TSDF的独立回放，但32动作均为原地旋转，前进0次。终点仍在锚点不能写作移动导航返航成功。27动作无新增二维格，第11步后二维覆盖停滞；语义孔口增量始终为零。</w:t>
      </w:r>
    </w:p>
    <w:p>
      <w:pPr>
        <w:pStyle w:val="BodyText"/>
      </w:pPr>
      <w:r>
        <w:t xml:space="preserve">独立BFS进一步证明22/25次规划存在预算内可平移并返程的状态，首帧向北一格及完整返回仅需6动作。前级覆盖候选却按面积率只保留原地短动作，后级总收益评分已无法恢复被删除的推进视点。预测相机观察累计2028格次，实际兑现对应预测格仅277格次，17次选项无兑现；格次不等于唯一面积。候选预筛与总目标不一致，加上重复视野代理未被实际历史消耗，是下一轮的具体修正对象。</w:t>
      </w:r>
    </w:p>
    <w:p>
      <w:pPr>
        <w:pStyle w:val="BodyText"/>
      </w:pPr>
      <w:r>
        <w:t xml:space="preserve">返程守卫的条件为</w:t>
      </w:r>
    </w:p>
    <w:p>
      <w:pPr>
        <w:pStyle w:val="BodyText"/>
      </w:pPr>
      <m:oMathPara>
        <m:oMathParaPr>
          <m:jc m:val="center"/>
        </m:oMathParaPr>
        <m:oMath>
          <m:r>
            <m:t>1</m:t>
          </m:r>
          <m:r>
            <m:rPr>
              <m:sty m:val="p"/>
            </m:rPr>
            <m:t>+</m:t>
          </m:r>
          <m:sSub>
            <m:e>
              <m:r>
                <m:t>d</m:t>
              </m:r>
            </m:e>
            <m:sub>
              <m:sSub>
                <m:e>
                  <m:r>
                    <m:t>M</m:t>
                  </m:r>
                </m:e>
                <m:sub>
                  <m:r>
                    <m:t>t</m:t>
                  </m:r>
                </m:sub>
              </m:sSub>
            </m:sub>
          </m:sSub>
          <m:d>
            <m:dPr>
              <m:begChr m:val="("/>
              <m:endChr m:val=")"/>
              <m:sepChr m:val=""/>
              <m:grow/>
            </m:dPr>
            <m:e>
              <m:sSubSup>
                <m:e>
                  <m:r>
                    <m:t>x</m:t>
                  </m:r>
                </m:e>
                <m:sub>
                  <m:r>
                    <m:t>t</m:t>
                  </m:r>
                </m:sub>
                <m:sup>
                  <m:r>
                    <m:rPr>
                      <m:sty m:val="p"/>
                    </m:rPr>
                    <m:t>+</m:t>
                  </m:r>
                </m:sup>
              </m:sSubSup>
              <m:r>
                <m:rPr>
                  <m:sty m:val="p"/>
                </m:rPr>
                <m:t>,</m:t>
              </m:r>
              <m:r>
                <m:t>h</m:t>
              </m:r>
            </m:e>
          </m:d>
          <m:r>
            <m:rPr>
              <m:sty m:val="p"/>
            </m:rPr>
            <m:t>≤</m:t>
          </m:r>
          <m:sSub>
            <m:e>
              <m:r>
                <m:t>b</m:t>
              </m:r>
            </m:e>
            <m:sub>
              <m:r>
                <m:t>t</m:t>
              </m:r>
            </m:sub>
          </m:sSub>
          <m:r>
            <m:rPr>
              <m:sty m:val="p"/>
            </m:rPr>
            <m:t>.</m:t>
          </m:r>
        </m:oMath>
      </m:oMathPara>
    </w:p>
    <w:p>
      <w:pPr>
        <w:pStyle w:val="FirstParagraph"/>
      </w:pPr>
      <w:r>
        <w:t xml:space="preserve">它只约束当前观测地图，并包含旋转和锚点朝向，不保证新地图冲突下无条件成功。计划返程只作预算预留，不写入实测历史。下一轮保留语义结构先验，修复覆盖候选和反馈去重，先证明真实平移推进，再冻结S/G/O/N与去反馈等完整轨迹对照。</w:t>
      </w:r>
      <w:hyperlink r:id="rId148">
        <w:r>
          <w:rPr>
            <w:rStyle w:val="Hyperlink"/>
          </w:rPr>
          <w:t xml:space="preserve">实现与全部证据</w:t>
        </w:r>
      </w:hyperlink>
      <w:r>
        <w:t xml:space="preserve">已记录；V9.1原幅度门失败和当前完整方案优势未证的判断保持不变。</w:t>
      </w:r>
    </w:p>
    <w:bookmarkEnd w:id="149"/>
    <w:bookmarkStart w:id="150" w:name="来源"/>
    <w:p>
      <w:pPr>
        <w:pStyle w:val="Heading2"/>
      </w:pPr>
      <w:r>
        <w:t xml:space="preserve">来源</w:t>
      </w:r>
    </w:p>
    <w:bookmarkEnd w:id="150"/>
    <w:bookmarkEnd w:id="151"/>
    <w:sectPr w:rsidR="00FC693F" w:rsidRPr="0006063C" w:rsidSect="00034616">
      <w:pgSz w:h="16838" w:w="11906"/>
      <w:pgMar w:bottom="1134" w:footer="720" w:gutter="0" w:header="720"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NSO 项目开发记录：</w:t>
      </w:r>
      <w:hyperlink r:id="rId24">
        <w:r>
          <w:rPr>
            <w:rStyle w:val="Hyperlink"/>
          </w:rPr>
          <w:t xml:space="preserve">V3 开发结果</w:t>
        </w:r>
      </w:hyperlink>
      <w:r>
        <w:t xml:space="preserve">；</w:t>
      </w:r>
      <w:hyperlink r:id="rId25">
        <w:r>
          <w:rPr>
            <w:rStyle w:val="Hyperlink"/>
          </w:rPr>
          <w:t xml:space="preserve">40 回合原始汇总</w:t>
        </w:r>
      </w:hyperlink>
      <w:r>
        <w:t xml:space="preserve">；</w:t>
      </w:r>
      <w:hyperlink r:id="rId26">
        <w:r>
          <w:rPr>
            <w:rStyle w:val="Hyperlink"/>
          </w:rPr>
          <w:t xml:space="preserve">当前开发就绪判断</w:t>
        </w:r>
      </w:hyperlink>
      <w:r>
        <w:t xml:space="preserve">。本地资料，开发证据，不是独立测试。</w:t>
      </w:r>
    </w:p>
  </w:footnote>
  <w:footnote w:id="32">
    <w:p>
      <w:pPr>
        <w:pStyle w:val="FootnoteText"/>
      </w:pPr>
      <w:r>
        <w:rPr>
          <w:rStyle w:val="FootnoteReference"/>
        </w:rPr>
        <w:footnoteRef/>
      </w:r>
      <w:r>
        <w:t xml:space="preserve"> </w:t>
      </w:r>
      <w:r>
        <w:t xml:space="preserve">Chao Cao, Hongbiao Zhu, Howie Choset, Ji Zhang.</w:t>
      </w:r>
      <w:r>
        <w:t xml:space="preserve"> </w:t>
      </w:r>
      <w:r>
        <w:t xml:space="preserve">“</w:t>
      </w:r>
      <w:r>
        <w:t xml:space="preserve">TARE: A Hierarchical Framework for Efficiently Exploring Complex 3D Environments.</w:t>
      </w:r>
      <w:r>
        <w:t xml:space="preserve">”</w:t>
      </w:r>
      <w:r>
        <w:t xml:space="preserve"> </w:t>
      </w:r>
      <w:r>
        <w:t xml:space="preserve">RSS, 2021.</w:t>
      </w:r>
      <w:r>
        <w:t xml:space="preserve"> </w:t>
      </w:r>
      <w:hyperlink r:id="rId33">
        <w:r>
          <w:rPr>
            <w:rStyle w:val="Hyperlink"/>
          </w:rPr>
          <w:t xml:space="preserve">机构全文</w:t>
        </w:r>
      </w:hyperlink>
      <w:r>
        <w:t xml:space="preserve">。阅读方法、理论与实验；2023 扩展出版信息另见文献综述。</w:t>
      </w:r>
    </w:p>
  </w:footnote>
  <w:footnote w:id="34">
    <w:p>
      <w:pPr>
        <w:pStyle w:val="FootnoteText"/>
      </w:pPr>
      <w:r>
        <w:rPr>
          <w:rStyle w:val="FootnoteReference"/>
        </w:rPr>
        <w:footnoteRef/>
      </w:r>
      <w:r>
        <w:t xml:space="preserve"> </w:t>
      </w:r>
      <w:r>
        <w:t xml:space="preserve">Boyu Zhou, Yichen Zhang, Xinyi Chen, Shaojie Shen.</w:t>
      </w:r>
      <w:r>
        <w:t xml:space="preserve"> </w:t>
      </w:r>
      <w:r>
        <w:t xml:space="preserve">“</w:t>
      </w:r>
      <w:r>
        <w:t xml:space="preserve">FUEL: Fast UAV Exploration using Incremental Frontier Structure and Hierarchical Planning.</w:t>
      </w:r>
      <w:r>
        <w:t xml:space="preserve">”</w:t>
      </w:r>
      <w:r>
        <w:t xml:space="preserve"> </w:t>
      </w:r>
      <w:r>
        <w:t xml:space="preserve">RA-L, 2021.</w:t>
      </w:r>
      <w:r>
        <w:t xml:space="preserve"> </w:t>
      </w:r>
      <w:hyperlink r:id="rId35">
        <w:r>
          <w:rPr>
            <w:rStyle w:val="Hyperlink"/>
          </w:rPr>
          <w:t xml:space="preserve">机构全文</w:t>
        </w:r>
      </w:hyperlink>
      <w:r>
        <w:t xml:space="preserve">；</w:t>
      </w:r>
      <w:hyperlink r:id="rId36">
        <w:r>
          <w:rPr>
            <w:rStyle w:val="Hyperlink"/>
          </w:rPr>
          <w:t xml:space="preserve">官方仓库</w:t>
        </w:r>
      </w:hyperlink>
      <w:r>
        <w:t xml:space="preserve">。</w:t>
      </w:r>
    </w:p>
  </w:footnote>
  <w:footnote w:id="37">
    <w:p>
      <w:pPr>
        <w:pStyle w:val="FootnoteText"/>
      </w:pPr>
      <w:r>
        <w:rPr>
          <w:rStyle w:val="FootnoteReference"/>
        </w:rPr>
        <w:footnoteRef/>
      </w:r>
      <w:r>
        <w:t xml:space="preserve"> </w:t>
      </w:r>
      <w:r>
        <w:t xml:space="preserve">Yichen Zhang, Xinyi Chen, Chen Feng, Boyu Zhou, Shaojie Shen.</w:t>
      </w:r>
      <w:r>
        <w:t xml:space="preserve"> </w:t>
      </w:r>
      <w:r>
        <w:t xml:space="preserve">“</w:t>
      </w:r>
      <w:r>
        <w:t xml:space="preserve">FALCON: Fast Autonomous Aerial Exploration using Coverage Path Guidance.</w:t>
      </w:r>
      <w:r>
        <w:t xml:space="preserve">”</w:t>
      </w:r>
      <w:r>
        <w:t xml:space="preserve"> </w:t>
      </w:r>
      <w:r>
        <w:t xml:space="preserve">T-RO 41, 2025；DOI 2024.</w:t>
      </w:r>
      <w:r>
        <w:t xml:space="preserve"> </w:t>
      </w:r>
      <w:hyperlink r:id="rId38">
        <w:r>
          <w:rPr>
            <w:rStyle w:val="Hyperlink"/>
          </w:rPr>
          <w:t xml:space="preserve">全文</w:t>
        </w:r>
      </w:hyperlink>
      <w:r>
        <w:t xml:space="preserve">。</w:t>
      </w:r>
    </w:p>
  </w:footnote>
  <w:footnote w:id="39">
    <w:p>
      <w:pPr>
        <w:pStyle w:val="FootnoteText"/>
      </w:pPr>
      <w:r>
        <w:rPr>
          <w:rStyle w:val="FootnoteReference"/>
        </w:rPr>
        <w:footnoteRef/>
      </w:r>
      <w:r>
        <w:t xml:space="preserve"> </w:t>
      </w:r>
      <w:r>
        <w:t xml:space="preserve">Sotiris Papatheodorou, Nils Funk, Dimos Tzoumanikas, Christopher Choi, Binbin Xu, Stefan Leutenegger.</w:t>
      </w:r>
      <w:r>
        <w:t xml:space="preserve"> </w:t>
      </w:r>
      <w:r>
        <w:t xml:space="preserve">“</w:t>
      </w:r>
      <w:r>
        <w:t xml:space="preserve">Finding Things in the Unknown: Semantic Object-Centric Exploration with an MAV.</w:t>
      </w:r>
      <w:r>
        <w:t xml:space="preserve">”</w:t>
      </w:r>
      <w:r>
        <w:t xml:space="preserve"> </w:t>
      </w:r>
      <w:r>
        <w:t xml:space="preserve">ICRA, 2023.</w:t>
      </w:r>
      <w:r>
        <w:t xml:space="preserve"> </w:t>
      </w:r>
      <w:hyperlink r:id="rId40">
        <w:r>
          <w:rPr>
            <w:rStyle w:val="Hyperlink"/>
          </w:rPr>
          <w:t xml:space="preserve">全文</w:t>
        </w:r>
      </w:hyperlink>
      <w:r>
        <w:t xml:space="preserve">。</w:t>
      </w:r>
    </w:p>
  </w:footnote>
  <w:footnote w:id="41">
    <w:p>
      <w:pPr>
        <w:pStyle w:val="FootnoteText"/>
      </w:pPr>
      <w:r>
        <w:rPr>
          <w:rStyle w:val="FootnoteReference"/>
        </w:rPr>
        <w:footnoteRef/>
      </w:r>
      <w:r>
        <w:t xml:space="preserve"> </w:t>
      </w:r>
      <w:r>
        <w:t xml:space="preserve">Rohit Menon, Tobias Zaenker, Nils Dengler, Maren Bennewitz.</w:t>
      </w:r>
      <w:r>
        <w:t xml:space="preserve"> </w:t>
      </w:r>
      <w:r>
        <w:t xml:space="preserve">“</w:t>
      </w:r>
      <w:r>
        <w:t xml:space="preserve">NBV-SC: Next Best View Planning based on Shape Completion for Fruit Mapping and Reconstruction.</w:t>
      </w:r>
      <w:r>
        <w:t xml:space="preserve">”</w:t>
      </w:r>
      <w:r>
        <w:t xml:space="preserve"> </w:t>
      </w:r>
      <w:r>
        <w:t xml:space="preserve">2022 预印本，2023 修订.</w:t>
      </w:r>
      <w:r>
        <w:t xml:space="preserve"> </w:t>
      </w:r>
      <w:hyperlink r:id="rId42">
        <w:r>
          <w:rPr>
            <w:rStyle w:val="Hyperlink"/>
          </w:rPr>
          <w:t xml:space="preserve">全文</w:t>
        </w:r>
      </w:hyperlink>
      <w:r>
        <w:t xml:space="preserve">。</w:t>
      </w:r>
    </w:p>
  </w:footnote>
  <w:footnote w:id="43">
    <w:p>
      <w:pPr>
        <w:pStyle w:val="FootnoteText"/>
      </w:pPr>
      <w:r>
        <w:rPr>
          <w:rStyle w:val="FootnoteReference"/>
        </w:rPr>
        <w:footnoteRef/>
      </w:r>
      <w:r>
        <w:t xml:space="preserve"> </w:t>
      </w:r>
      <w:r>
        <w:t xml:space="preserve">Xiaoyang Zhan, Shixin Zhou, Qianqian Yang, Yixuan Zhao, Hao Liu, Srinivas Chowdary Ramineni, Kenji Shimada.</w:t>
      </w:r>
      <w:r>
        <w:t xml:space="preserve"> </w:t>
      </w:r>
      <w:r>
        <w:t xml:space="preserve">“</w:t>
      </w:r>
      <w:r>
        <w:t xml:space="preserve">Semantic Exploration and Dense Mapping of Complex Environments using Ground Robot with Panoramic LiDAR-Camera Fusion.</w:t>
      </w:r>
      <w:r>
        <w:t xml:space="preserve">”</w:t>
      </w:r>
      <w:r>
        <w:t xml:space="preserve"> </w:t>
      </w:r>
      <w:r>
        <w:t xml:space="preserve">RA-L, 2025.</w:t>
      </w:r>
      <w:r>
        <w:t xml:space="preserve"> </w:t>
      </w:r>
      <w:hyperlink r:id="rId44">
        <w:r>
          <w:rPr>
            <w:rStyle w:val="Hyperlink"/>
          </w:rPr>
          <w:t xml:space="preserve">全文</w:t>
        </w:r>
      </w:hyperlink>
      <w:r>
        <w:t xml:space="preserve">；</w:t>
      </w:r>
      <w:hyperlink r:id="rId45">
        <w:r>
          <w:rPr>
            <w:rStyle w:val="Hyperlink"/>
          </w:rPr>
          <w:t xml:space="preserve">DOI</w:t>
        </w:r>
      </w:hyperlink>
      <w:r>
        <w:t xml:space="preserve">。</w:t>
      </w:r>
    </w:p>
  </w:footnote>
  <w:footnote w:id="46">
    <w:p>
      <w:pPr>
        <w:pStyle w:val="FootnoteText"/>
      </w:pPr>
      <w:r>
        <w:rPr>
          <w:rStyle w:val="FootnoteReference"/>
        </w:rPr>
        <w:footnoteRef/>
      </w:r>
      <w:r>
        <w:t xml:space="preserve"> </w:t>
      </w:r>
      <w:r>
        <w:t xml:space="preserve">Nitin Vegesna, Avideh Zakhor.</w:t>
      </w:r>
      <w:r>
        <w:t xml:space="preserve"> </w:t>
      </w:r>
      <w:r>
        <w:t xml:space="preserve">“</w:t>
      </w:r>
      <w:r>
        <w:t xml:space="preserve">Semantic-Aware Guided Drone Exploration for Language-Conditioned 3D Indoor Mapping.</w:t>
      </w:r>
      <w:r>
        <w:t xml:space="preserve">”</w:t>
      </w:r>
      <w:r>
        <w:t xml:space="preserve"> </w:t>
      </w:r>
      <w:r>
        <w:t xml:space="preserve">2026-05-22，预印本／非存档 workshop.</w:t>
      </w:r>
      <w:r>
        <w:t xml:space="preserve"> </w:t>
      </w:r>
      <w:hyperlink r:id="rId47">
        <w:r>
          <w:rPr>
            <w:rStyle w:val="Hyperlink"/>
          </w:rPr>
          <w:t xml:space="preserve">全文与发表状态</w:t>
        </w:r>
      </w:hyperlink>
      <w:r>
        <w:t xml:space="preserve">。</w:t>
      </w:r>
    </w:p>
  </w:footnote>
  <w:footnote w:id="48">
    <w:p>
      <w:pPr>
        <w:pStyle w:val="FootnoteText"/>
      </w:pPr>
      <w:r>
        <w:rPr>
          <w:rStyle w:val="FootnoteReference"/>
        </w:rPr>
        <w:footnoteRef/>
      </w:r>
      <w:r>
        <w:t xml:space="preserve"> </w:t>
      </w:r>
      <w:r>
        <w:t xml:space="preserve">Jingsen Zhu, Silvia Sellán, Alexander Terenin.</w:t>
      </w:r>
      <w:r>
        <w:t xml:space="preserve"> </w:t>
      </w:r>
      <w:r>
        <w:t xml:space="preserve">“</w:t>
      </w:r>
      <w:r>
        <w:t xml:space="preserve">A Bayesian Approach for Task-Specific Next-Best-View Selection with Uncertain Geometry.</w:t>
      </w:r>
      <w:r>
        <w:t xml:space="preserve">”</w:t>
      </w:r>
      <w:r>
        <w:t xml:space="preserve"> </w:t>
      </w:r>
      <w:r>
        <w:t xml:space="preserve">SIGGRAPH, 2026.</w:t>
      </w:r>
      <w:r>
        <w:t xml:space="preserve"> </w:t>
      </w:r>
      <w:hyperlink r:id="rId49">
        <w:r>
          <w:rPr>
            <w:rStyle w:val="Hyperlink"/>
          </w:rPr>
          <w:t xml:space="preserve">全文</w:t>
        </w:r>
      </w:hyperlink>
      <w:r>
        <w:t xml:space="preserve">；</w:t>
      </w:r>
      <w:hyperlink r:id="rId50">
        <w:r>
          <w:rPr>
            <w:rStyle w:val="Hyperlink"/>
          </w:rPr>
          <w:t xml:space="preserve">官方实现及依赖</w:t>
        </w:r>
      </w:hyperlink>
      <w:r>
        <w:t xml:space="preserve">。</w:t>
      </w:r>
    </w:p>
  </w:footnote>
  <w:footnote w:id="59">
    <w:p>
      <w:pPr>
        <w:pStyle w:val="FootnoteText"/>
      </w:pPr>
      <w:r>
        <w:rPr>
          <w:rStyle w:val="FootnoteReference"/>
        </w:rPr>
        <w:footnoteRef/>
      </w:r>
      <w:r>
        <w:t xml:space="preserve"> </w:t>
      </w:r>
      <w:r>
        <w:t xml:space="preserve">George L. Nemhauser, Laurence A. Wolsey, Marshall L. Fisher.</w:t>
      </w:r>
      <w:r>
        <w:t xml:space="preserve"> </w:t>
      </w:r>
      <w:r>
        <w:t xml:space="preserve">“</w:t>
      </w:r>
      <w:r>
        <w:t xml:space="preserve">An Analysis of Approximations for Maximizing Submodular Set Functions—I.</w:t>
      </w:r>
      <w:r>
        <w:t xml:space="preserve">”</w:t>
      </w:r>
      <w:r>
        <w:t xml:space="preserve"> </w:t>
      </w:r>
      <w:r>
        <w:t xml:space="preserve">Mathematical Programming 14, 1978.</w:t>
      </w:r>
      <w:r>
        <w:t xml:space="preserve"> </w:t>
      </w:r>
      <w:hyperlink r:id="rId60">
        <w:r>
          <w:rPr>
            <w:rStyle w:val="Hyperlink"/>
          </w:rPr>
          <w:t xml:space="preserve">原文扫描</w:t>
        </w:r>
      </w:hyperlink>
      <w:r>
        <w:t xml:space="preserve">。此处只引用固定目标和基数约束的经典结果；完整路径问题不继承该保证。</w:t>
      </w:r>
    </w:p>
  </w:footnote>
  <w:footnote w:id="62">
    <w:p>
      <w:pPr>
        <w:pStyle w:val="FootnoteText"/>
      </w:pPr>
      <w:r>
        <w:rPr>
          <w:rStyle w:val="FootnoteReference"/>
        </w:rPr>
        <w:footnoteRef/>
      </w:r>
      <w:r>
        <w:t xml:space="preserve"> </w:t>
      </w:r>
      <w:hyperlink r:id="rId63">
        <w:r>
          <w:rPr>
            <w:rStyle w:val="Hyperlink"/>
          </w:rPr>
          <w:t xml:space="preserve">NSO 四模块理论文档</w:t>
        </w:r>
      </w:hyperlink>
      <w:r>
        <w:t xml:space="preserve">，包含条件、证明、反例和原论文来源；</w:t>
      </w:r>
      <w:hyperlink r:id="rId64">
        <w:r>
          <w:rPr>
            <w:rStyle w:val="Hyperlink"/>
          </w:rPr>
          <w:t xml:space="preserve">独立数值算例</w:t>
        </w:r>
      </w:hyperlink>
      <w:r>
        <w:t xml:space="preserve">核验 1,458 项冻结收益边际、4,100 项覆盖延迟界和 25 项单边概率界。有限数值检查不代替数学证明或系统实验。</w:t>
      </w:r>
    </w:p>
  </w:footnote>
  <w:footnote w:id="66">
    <w:p>
      <w:pPr>
        <w:pStyle w:val="FootnoteText"/>
      </w:pPr>
      <w:r>
        <w:rPr>
          <w:rStyle w:val="FootnoteReference"/>
        </w:rPr>
        <w:footnoteRef/>
      </w:r>
      <w:r>
        <w:t xml:space="preserve"> </w:t>
      </w:r>
      <w:hyperlink r:id="rId63">
        <w:r>
          <w:rPr>
            <w:rStyle w:val="Hyperlink"/>
          </w:rPr>
          <w:t xml:space="preserve">NSO 四模块理论文档</w:t>
        </w:r>
      </w:hyperlink>
      <w:r>
        <w:t xml:space="preserve">，包含条件、证明、反例和原论文来源；</w:t>
      </w:r>
      <w:hyperlink r:id="rId64">
        <w:r>
          <w:rPr>
            <w:rStyle w:val="Hyperlink"/>
          </w:rPr>
          <w:t xml:space="preserve">独立数值算例</w:t>
        </w:r>
      </w:hyperlink>
      <w:r>
        <w:t xml:space="preserve">核验 1,458 项冻结收益边际、4,100 项覆盖延迟界和 25 项单边概率界。有限数值检查不代替数学证明或系统实验。</w:t>
      </w:r>
    </w:p>
  </w:footnote>
  <w:footnote w:id="70">
    <w:p>
      <w:pPr>
        <w:pStyle w:val="FootnoteText"/>
      </w:pPr>
      <w:r>
        <w:rPr>
          <w:rStyle w:val="FootnoteReference"/>
        </w:rPr>
        <w:footnoteRef/>
      </w:r>
      <w:r>
        <w:t xml:space="preserve"> </w:t>
      </w:r>
      <w:hyperlink r:id="rId71">
        <w:r>
          <w:rPr>
            <w:rStyle w:val="Hyperlink"/>
          </w:rPr>
          <w:t xml:space="preserve">架构与基线审计</w:t>
        </w:r>
      </w:hyperlink>
      <w:r>
        <w:t xml:space="preserve">；</w:t>
      </w:r>
      <w:hyperlink r:id="rId72">
        <w:r>
          <w:rPr>
            <w:rStyle w:val="Hyperlink"/>
          </w:rPr>
          <w:t xml:space="preserve">文献综述及官方基线准备</w:t>
        </w:r>
      </w:hyperlink>
      <w:r>
        <w:t xml:space="preserve">。三个固定源码树包含 TARE、CMU 地面环境和 FUEL，逐文件哈希见</w:t>
      </w:r>
      <w:r>
        <w:t xml:space="preserve"> </w:t>
      </w:r>
      <w:hyperlink r:id="rId73">
        <w:r>
          <w:rPr>
            <w:rStyle w:val="Hyperlink"/>
          </w:rPr>
          <w:t xml:space="preserve">源码清单</w:t>
        </w:r>
      </w:hyperlink>
      <w:r>
        <w:t xml:space="preserve">。绝对路径的外部 catkin 工作区链接未解压，待 ROS 环境初始化重建。</w:t>
      </w:r>
      <w:hyperlink r:id="rId74">
        <w:r>
          <w:rPr>
            <w:rStyle w:val="Hyperlink"/>
          </w:rPr>
          <w:t xml:space="preserve">本轮实际构建探测</w:t>
        </w:r>
      </w:hyperlink>
      <w:r>
        <w:t xml:space="preserve">只通过官方 TSP 组件，完整 planner、官方演示与公平对照均未通过。</w:t>
      </w:r>
    </w:p>
  </w:footnote>
  <w:footnote w:id="77">
    <w:p>
      <w:pPr>
        <w:pStyle w:val="FootnoteText"/>
      </w:pPr>
      <w:r>
        <w:rPr>
          <w:rStyle w:val="FootnoteReference"/>
        </w:rPr>
        <w:footnoteRef/>
      </w:r>
      <w:r>
        <w:t xml:space="preserve"> </w:t>
      </w:r>
      <w:hyperlink r:id="rId78">
        <w:r>
          <w:rPr>
            <w:rStyle w:val="Hyperlink"/>
          </w:rPr>
          <w:t xml:space="preserve">旧参考采样审计</w:t>
        </w:r>
      </w:hyperlink>
      <w:r>
        <w:t xml:space="preserve">及</w:t>
      </w:r>
      <w:hyperlink r:id="rId79">
        <w:r>
          <w:rPr>
            <w:rStyle w:val="Hyperlink"/>
          </w:rPr>
          <w:t xml:space="preserve">逐场景数据和哈希</w:t>
        </w:r>
      </w:hyperlink>
      <w:r>
        <w:t xml:space="preserve">。盒实体恢复、原 16000 点采样及可见性过滤均与归档逐元素一致；全表面积减少 5.781%—7.694% 不等于过滤后指标偏差。</w:t>
      </w:r>
    </w:p>
  </w:footnote>
  <w:footnote w:id="81">
    <w:p>
      <w:pPr>
        <w:pStyle w:val="FootnoteText"/>
      </w:pPr>
      <w:r>
        <w:rPr>
          <w:rStyle w:val="FootnoteReference"/>
        </w:rPr>
        <w:footnoteRef/>
      </w:r>
      <w:r>
        <w:t xml:space="preserve"> </w:t>
      </w:r>
      <w:hyperlink r:id="rId82">
        <w:r>
          <w:rPr>
            <w:rStyle w:val="Hyperlink"/>
          </w:rPr>
          <w:t xml:space="preserve">V4 32 回合原始汇总</w:t>
        </w:r>
      </w:hyperlink>
      <w:r>
        <w:t xml:space="preserve">及同目录的逐步观测与选择记录；</w:t>
      </w:r>
      <w:hyperlink r:id="rId83">
        <w:r>
          <w:rPr>
            <w:rStyle w:val="Hyperlink"/>
          </w:rPr>
          <w:t xml:space="preserve">追加消融配置</w:t>
        </w:r>
      </w:hyperlink>
      <w:r>
        <w:t xml:space="preserve">；</w:t>
      </w:r>
      <w:hyperlink r:id="rId84">
        <w:r>
          <w:rPr>
            <w:rStyle w:val="Hyperlink"/>
          </w:rPr>
          <w:t xml:space="preserve">72 回合复核与消融结论</w:t>
        </w:r>
      </w:hyperlink>
      <w:r>
        <w:t xml:space="preserve">。均为开发实验，不使用独立确认种子。</w:t>
      </w:r>
    </w:p>
  </w:footnote>
  <w:footnote w:id="85">
    <w:p>
      <w:pPr>
        <w:pStyle w:val="FootnoteText"/>
      </w:pPr>
      <w:r>
        <w:rPr>
          <w:rStyle w:val="FootnoteReference"/>
        </w:rPr>
        <w:footnoteRef/>
      </w:r>
      <w:r>
        <w:t xml:space="preserve"> </w:t>
      </w:r>
      <w:hyperlink r:id="rId86">
        <w:r>
          <w:rPr>
            <w:rStyle w:val="Hyperlink"/>
          </w:rPr>
          <w:t xml:space="preserve">64 个唯一终点评价敏感性复核</w:t>
        </w:r>
      </w:hyperlink>
      <w:r>
        <w:t xml:space="preserve">；同目录保存新参考、全部 2／5／10cm 指标及 384 个输入哈希。该终点工作不涉及新导航，后续全轨迹 AUC 回放见下一来源。</w:t>
      </w:r>
    </w:p>
  </w:footnote>
  <w:footnote w:id="87">
    <w:p>
      <w:pPr>
        <w:pStyle w:val="FootnoteText"/>
      </w:pPr>
      <w:r>
        <w:rPr>
          <w:rStyle w:val="FootnoteReference"/>
        </w:rPr>
        <w:footnoteRef/>
      </w:r>
      <w:r>
        <w:t xml:space="preserve"> </w:t>
      </w:r>
      <w:hyperlink r:id="rId88">
        <w:r>
          <w:rPr>
            <w:rStyle w:val="Hyperlink"/>
          </w:rPr>
          <w:t xml:space="preserve">64 条轨迹、929 个检查点的唯一外表面回放</w:t>
        </w:r>
      </w:hyperlink>
      <w:r>
        <w:t xml:space="preserve">；同目录保存 34,289 个输入哈希、源快照与独立积分验证。</w:t>
      </w:r>
    </w:p>
  </w:footnote>
  <w:footnote w:id="89">
    <w:p>
      <w:pPr>
        <w:pStyle w:val="FootnoteText"/>
      </w:pPr>
      <w:r>
        <w:rPr>
          <w:rStyle w:val="FootnoteReference"/>
        </w:rPr>
        <w:footnoteRef/>
      </w:r>
      <w:r>
        <w:t xml:space="preserve"> </w:t>
      </w:r>
      <w:hyperlink r:id="rId90">
        <w:r>
          <w:rPr>
            <w:rStyle w:val="Hyperlink"/>
          </w:rPr>
          <w:t xml:space="preserve">设施场景与控制条件规范</w:t>
        </w:r>
      </w:hyperlink>
      <w:r>
        <w:t xml:space="preserve">；</w:t>
      </w:r>
      <w:hyperlink r:id="rId91">
        <w:r>
          <w:rPr>
            <w:rStyle w:val="Hyperlink"/>
          </w:rPr>
          <w:t xml:space="preserve">RGB 线索与外表面检查</w:t>
        </w:r>
      </w:hyperlink>
      <w:r>
        <w:t xml:space="preserve">；</w:t>
      </w:r>
      <w:hyperlink r:id="rId92">
        <w:r>
          <w:rPr>
            <w:rStyle w:val="Hyperlink"/>
          </w:rPr>
          <w:t xml:space="preserve">四个短流程及回放</w:t>
        </w:r>
      </w:hyperlink>
      <w:r>
        <w:t xml:space="preserve">。尚未执行新设施正式效能矩阵，短流程不能证明方案优势。</w:t>
      </w:r>
    </w:p>
  </w:footnote>
  <w:footnote w:id="94">
    <w:p>
      <w:pPr>
        <w:pStyle w:val="FootnoteText"/>
      </w:pPr>
      <w:r>
        <w:rPr>
          <w:rStyle w:val="FootnoteReference"/>
        </w:rPr>
        <w:footnoteRef/>
      </w:r>
      <w:r>
        <w:t xml:space="preserve"> </w:t>
      </w:r>
      <w:hyperlink r:id="rId95">
        <w:r>
          <w:rPr>
            <w:rStyle w:val="Hyperlink"/>
          </w:rPr>
          <w:t xml:space="preserve">首批反事实结果</w:t>
        </w:r>
      </w:hyperlink>
      <w:r>
        <w:t xml:space="preserve">及</w:t>
      </w:r>
      <w:hyperlink r:id="rId96">
        <w:r>
          <w:rPr>
            <w:rStyle w:val="Hyperlink"/>
          </w:rPr>
          <w:t xml:space="preserve">完整回放记录</w:t>
        </w:r>
      </w:hyperlink>
      <w:r>
        <w:t xml:space="preserve">。所有评分器共享物理分支，不能将六种评分当成六次独立运行。</w:t>
      </w:r>
    </w:p>
  </w:footnote>
  <w:footnote w:id="97">
    <w:p>
      <w:pPr>
        <w:pStyle w:val="FootnoteText"/>
      </w:pPr>
      <w:r>
        <w:rPr>
          <w:rStyle w:val="FootnoteReference"/>
        </w:rPr>
        <w:footnoteRef/>
      </w:r>
      <w:r>
        <w:t xml:space="preserve"> </w:t>
      </w:r>
      <w:hyperlink r:id="rId98">
        <w:r>
          <w:rPr>
            <w:rStyle w:val="Hyperlink"/>
          </w:rPr>
          <w:t xml:space="preserve">原模型对象归因</w:t>
        </w:r>
      </w:hyperlink>
      <w:r>
        <w:t xml:space="preserve">。分析使用事后独立真值，仅可诊断；不允许把这些逐对象真值判断写入在线模型。</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SC" w:eastAsia="Noto Sans CJK SC" w:hAnsi="Noto Sans CJK SC"/>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76" w:lineRule="auto"/>
      <w:outlineLvl w:val="0"/>
    </w:pPr>
    <w:rPr>
      <w:rFonts w:ascii="Noto Sans CJK SC" w:asciiTheme="majorHAnsi" w:cstheme="majorBidi" w:eastAsia="Noto Sans CJK SC" w:eastAsiaTheme="majorEastAsia" w:hAnsi="Noto Sans CJK SC"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Noto Sans CJK SC" w:asciiTheme="majorHAnsi" w:cstheme="majorBidi" w:eastAsia="Noto Sans CJK SC" w:eastAsiaTheme="majorEastAsia" w:hAnsi="Noto Sans CJK SC"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line="276" w:lineRule="auto"/>
      <w:outlineLvl w:val="2"/>
    </w:pPr>
    <w:rPr>
      <w:rFonts w:ascii="Noto Sans CJK SC" w:asciiTheme="majorHAnsi" w:cstheme="majorBidi" w:eastAsia="Noto Sans CJK SC" w:eastAsiaTheme="majorEastAsia" w:hAnsi="Noto Sans CJK SC"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40" w:line="276" w:lineRule="auto"/>
      <w:contextualSpacing/>
    </w:pPr>
    <w:rPr>
      <w:rFonts w:ascii="Noto Sans CJK SC" w:asciiTheme="majorHAnsi" w:cstheme="majorBidi" w:eastAsia="Noto Sans CJK SC" w:eastAsiaTheme="majorEastAsia" w:hAnsi="Noto Sans CJK SC"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Noto Sans CJK SC" w:eastAsia="Noto Sans CJK SC" w:hAnsi="Noto Sans CJK SC"/>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9" Target="media/rId129.png" /><Relationship Type="http://schemas.openxmlformats.org/officeDocument/2006/relationships/image" Id="rId140" Target="media/rId140.png" /><Relationship Type="http://schemas.openxmlformats.org/officeDocument/2006/relationships/hyperlink" Id="rId108" Target="../../audit_results/counterfactual_candidate_augmentation_replay_adapter_20260911/manifest.json" TargetMode="External" /><Relationship Type="http://schemas.openxmlformats.org/officeDocument/2006/relationships/hyperlink" Id="rId83" Target="../../configs/virtual3d/joint_v4_ablation_development.json" TargetMode="External" /><Relationship Type="http://schemas.openxmlformats.org/officeDocument/2006/relationships/hyperlink" Id="rId134" Target="../../eval_results/competition_v8_1_analysis_20260911/REPORT.md" TargetMode="External" /><Relationship Type="http://schemas.openxmlformats.org/officeDocument/2006/relationships/hyperlink" Id="rId126" Target="../../eval_results/competition_v8_1_execution_20260911/summary.json" TargetMode="External" /><Relationship Type="http://schemas.openxmlformats.org/officeDocument/2006/relationships/hyperlink" Id="rId127" Target="../../eval_results/competition_v8_1_execution_20260911/verification.json" TargetMode="External" /><Relationship Type="http://schemas.openxmlformats.org/officeDocument/2006/relationships/hyperlink" Id="rId136" Target="../../eval_results/competition_v8_1_objective_diagnosis_20260911/REPORT.md" TargetMode="External" /><Relationship Type="http://schemas.openxmlformats.org/officeDocument/2006/relationships/hyperlink" Id="rId107" Target="../../eval_results/counterfactual_candidate_augmentation_v6_20260911/verification.json" TargetMode="External" /><Relationship Type="http://schemas.openxmlformats.org/officeDocument/2006/relationships/hyperlink" Id="rId98" Target="../../eval_results/counterfactual_object_diagnosis_first_20260910/summary.json" TargetMode="External" /><Relationship Type="http://schemas.openxmlformats.org/officeDocument/2006/relationships/hyperlink" Id="rId102" Target="../../eval_results/counterfactual_object_diagnosis_v5_first_20260910/comparison_v3_v5.md" TargetMode="External" /><Relationship Type="http://schemas.openxmlformats.org/officeDocument/2006/relationships/hyperlink" Id="rId104" Target="../../eval_results/counterfactual_prefix_timing_first_20260911/TIMING_AUDIT.md" TargetMode="External" /><Relationship Type="http://schemas.openxmlformats.org/officeDocument/2006/relationships/hyperlink" Id="rId105" Target="../../eval_results/counterfactual_timing_divergences_first_20260911/DIVERGENCE_EXECUTION_REPORT.md" TargetMode="External" /><Relationship Type="http://schemas.openxmlformats.org/officeDocument/2006/relationships/hyperlink" Id="rId109" Target="../../eval_results/counterfactual_union_pool_v6_20260911/results.md" TargetMode="External" /><Relationship Type="http://schemas.openxmlformats.org/officeDocument/2006/relationships/hyperlink" Id="rId95" Target="../../eval_results/counterfactual_view_development_first_20260910/analysis/results.md" TargetMode="External" /><Relationship Type="http://schemas.openxmlformats.org/officeDocument/2006/relationships/hyperlink" Id="rId96" Target="../../eval_results/counterfactual_view_development_first_20260910/verification.json" TargetMode="External" /><Relationship Type="http://schemas.openxmlformats.org/officeDocument/2006/relationships/hyperlink" Id="rId101" Target="../../eval_results/counterfactual_view_v5_rescore_first_20260910/results.md" TargetMode="External" /><Relationship Type="http://schemas.openxmlformats.org/officeDocument/2006/relationships/hyperlink" Id="rId120" Target="../../eval_results/execution_guard_v8_failures_20260911/verification.json" TargetMode="External" /><Relationship Type="http://schemas.openxmlformats.org/officeDocument/2006/relationships/hyperlink" Id="rId121" Target="../../eval_results/execution_guard_v8_success_impacts_20260911/verification.json" TargetMode="External" /><Relationship Type="http://schemas.openxmlformats.org/officeDocument/2006/relationships/hyperlink" Id="rId92" Target="../../eval_results/inspection_v4_integration_smoke_20260910/results.md" TargetMode="External" /><Relationship Type="http://schemas.openxmlformats.org/officeDocument/2006/relationships/hyperlink" Id="rId26" Target="../../eval_results/joint_v3_posterior_development_20260910/development_readiness.json" TargetMode="External" /><Relationship Type="http://schemas.openxmlformats.org/officeDocument/2006/relationships/hyperlink" Id="rId25" Target="../../eval_results/joint_v3_posterior_development_20260910/summary.json" TargetMode="External" /><Relationship Type="http://schemas.openxmlformats.org/officeDocument/2006/relationships/hyperlink" Id="rId82" Target="../../eval_results/joint_v4_feedback_development_20260910/summary.json" TargetMode="External" /><Relationship Type="http://schemas.openxmlformats.org/officeDocument/2006/relationships/hyperlink" Id="rId88" Target="../../eval_results/legacy_surface_posthoc_auc_20260910/INTERPRETATION.md" TargetMode="External" /><Relationship Type="http://schemas.openxmlformats.org/officeDocument/2006/relationships/hyperlink" Id="rId86" Target="../../eval_results/legacy_surface_posthoc_endpoint_20260910/results.md" TargetMode="External" /><Relationship Type="http://schemas.openxmlformats.org/officeDocument/2006/relationships/hyperlink" Id="rId117" Target="../../eval_results/response_v7_value_diagnosis_20260911/REPORT.md" TargetMode="External" /><Relationship Type="http://schemas.openxmlformats.org/officeDocument/2006/relationships/hyperlink" Id="rId84" Target="../../eval_results/semantic_joint_v4_development_review_20260910/results.md" TargetMode="External" /><Relationship Type="http://schemas.openxmlformats.org/officeDocument/2006/relationships/hyperlink" Id="rId113" Target="../../eval_results/semantic_view_response_v6_candidate_transfer_20260911/REVIEW.md" TargetMode="External" /><Relationship Type="http://schemas.openxmlformats.org/officeDocument/2006/relationships/hyperlink" Id="rId112" Target="../../eval_results/semantic_view_response_v6_candidate_transfer_20260911/completion.json" TargetMode="External" /><Relationship Type="http://schemas.openxmlformats.org/officeDocument/2006/relationships/hyperlink" Id="rId24" Target="../SEMANTIC_JOINT_V3_DEVELOPMENT.md" TargetMode="External" /><Relationship Type="http://schemas.openxmlformats.org/officeDocument/2006/relationships/hyperlink" Id="rId71" Target="ARCHITECTURE_INVARIANTS_AND_BASELINE_AUDIT.md" TargetMode="External" /><Relationship Type="http://schemas.openxmlformats.org/officeDocument/2006/relationships/hyperlink" Id="rId106" Target="CANDIDATE_SUFFICIENCY_AUDIT_20260911.md" TargetMode="External" /><Relationship Type="http://schemas.openxmlformats.org/officeDocument/2006/relationships/hyperlink" Id="rId128" Target="COMPETITION_V8_1_SELECTED_METRIC_CROSSCHECK_20260911.md" TargetMode="External" /><Relationship Type="http://schemas.openxmlformats.org/officeDocument/2006/relationships/hyperlink" Id="rId123" Target="COMPETITION_V8_CONSTRUCTION_AUDIT_20260911.md" TargetMode="External" /><Relationship Type="http://schemas.openxmlformats.org/officeDocument/2006/relationships/hyperlink" Id="rId21" Target="COMPETITION_V9_1_RESULT_AND_F1_CEILING.md" TargetMode="External" /><Relationship Type="http://schemas.openxmlformats.org/officeDocument/2006/relationships/hyperlink" Id="rId139" Target="COMPETITION_V9_FEASIBILITY_AND_VARIABLE_POOL.md" TargetMode="External" /><Relationship Type="http://schemas.openxmlformats.org/officeDocument/2006/relationships/hyperlink" Id="rId99" Target="COUNTERFACTUAL_SCORE_DIAGNOSIS.md" TargetMode="External" /><Relationship Type="http://schemas.openxmlformats.org/officeDocument/2006/relationships/hyperlink" Id="rId93" Target="COUNTERFACTUAL_VIEW_UTILITY_PROTOCOL.md" TargetMode="External" /><Relationship Type="http://schemas.openxmlformats.org/officeDocument/2006/relationships/hyperlink" Id="rId63" Target="COVERAGE_SEMANTIC_THEORY.md" TargetMode="External" /><Relationship Type="http://schemas.openxmlformats.org/officeDocument/2006/relationships/hyperlink" Id="rId119" Target="EXECUTION_GUARD_V8_CHANGED_ROUTE_REPORT_20260911.md" TargetMode="External" /><Relationship Type="http://schemas.openxmlformats.org/officeDocument/2006/relationships/hyperlink" Id="rId143" Target="FOUR_MODULE_CPU_CLOSED_LOOP_V10_CONTRACT.md" TargetMode="External" /><Relationship Type="http://schemas.openxmlformats.org/officeDocument/2006/relationships/hyperlink" Id="rId148" Target="FOUR_MODULE_CPU_CLOSED_LOOP_V10_IMPLEMENTATION.md" TargetMode="External" /><Relationship Type="http://schemas.openxmlformats.org/officeDocument/2006/relationships/hyperlink" Id="rId90" Target="INSPECTION_SCENE_SPEC.md" TargetMode="External" /><Relationship Type="http://schemas.openxmlformats.org/officeDocument/2006/relationships/hyperlink" Id="rId79" Target="LEGACY_SURFACE_REFERENCE_AUDIT.json" TargetMode="External" /><Relationship Type="http://schemas.openxmlformats.org/officeDocument/2006/relationships/hyperlink" Id="rId78" Target="LEGACY_SURFACE_REFERENCE_AUDIT.md" TargetMode="External" /><Relationship Type="http://schemas.openxmlformats.org/officeDocument/2006/relationships/hyperlink" Id="rId137" Target="SEMANTIC_BUDGET_ALIGNMENT_V9_DESIGN.md" TargetMode="External" /><Relationship Type="http://schemas.openxmlformats.org/officeDocument/2006/relationships/hyperlink" Id="rId124" Target="SEMANTIC_COMPETITION_V8_PROTOCOL.md" TargetMode="External" /><Relationship Type="http://schemas.openxmlformats.org/officeDocument/2006/relationships/hyperlink" Id="rId100" Target="SEMANTIC_COMPLETION_V5_DESIGN.md" TargetMode="External" /><Relationship Type="http://schemas.openxmlformats.org/officeDocument/2006/relationships/hyperlink" Id="rId72" Target="SEMANTIC_COVERAGE_LITERATURE.md" TargetMode="External" /><Relationship Type="http://schemas.openxmlformats.org/officeDocument/2006/relationships/hyperlink" Id="rId115" Target="SEMANTIC_RESPONSE_V7_IMPLEMENTATION_AND_EVIDENCE.md" TargetMode="External" /><Relationship Type="http://schemas.openxmlformats.org/officeDocument/2006/relationships/hyperlink" Id="rId114" Target="SEMANTIC_V6_NEXT_VALIDATION_PROTOCOL.md" TargetMode="External" /><Relationship Type="http://schemas.openxmlformats.org/officeDocument/2006/relationships/hyperlink" Id="rId111" Target="SEMANTIC_VIEW_RESPONSE_V6_REVIEW.md" TargetMode="External" /><Relationship Type="http://schemas.openxmlformats.org/officeDocument/2006/relationships/hyperlink" Id="rId110" Target="SEMANTIC_VIEW_UTILITY_V6_THEORY.md" TargetMode="External" /><Relationship Type="http://schemas.openxmlformats.org/officeDocument/2006/relationships/hyperlink" Id="rId74" Target="TARE_NATIVE_BUILD_FEASIBILITY.md" TargetMode="External" /><Relationship Type="http://schemas.openxmlformats.org/officeDocument/2006/relationships/hyperlink" Id="rId20" Target="V10_3_SEMANTIC_COVERAGE_RESULT_AND_THEORY.md" TargetMode="External" /><Relationship Type="http://schemas.openxmlformats.org/officeDocument/2006/relationships/hyperlink" Id="rId132" Target="figures/competition_v8_1_selected_results.caption.md" TargetMode="External" /><Relationship Type="http://schemas.openxmlformats.org/officeDocument/2006/relationships/hyperlink" Id="rId133" Target="figures/competition_v8_1_selected_results.json" TargetMode="External" /><Relationship Type="http://schemas.openxmlformats.org/officeDocument/2006/relationships/hyperlink" Id="rId47" Target="https://arxiv.org/abs/2605.23160" TargetMode="External" /><Relationship Type="http://schemas.openxmlformats.org/officeDocument/2006/relationships/hyperlink" Id="rId42" Target="https://arxiv.org/html/2209.15376v2" TargetMode="External" /><Relationship Type="http://schemas.openxmlformats.org/officeDocument/2006/relationships/hyperlink" Id="rId40" Target="https://arxiv.org/html/2302.14569v2" TargetMode="External" /><Relationship Type="http://schemas.openxmlformats.org/officeDocument/2006/relationships/hyperlink" Id="rId38" Target="https://arxiv.org/html/2407.00577v2" TargetMode="External" /><Relationship Type="http://schemas.openxmlformats.org/officeDocument/2006/relationships/hyperlink" Id="rId44" Target="https://arxiv.org/html/2505.22880v3" TargetMode="External" /><Relationship Type="http://schemas.openxmlformats.org/officeDocument/2006/relationships/hyperlink" Id="rId49" Target="https://arxiv.org/html/2605.05095v1" TargetMode="External" /><Relationship Type="http://schemas.openxmlformats.org/officeDocument/2006/relationships/hyperlink" Id="rId45" Target="https://doi.org/10.1109/LRA.2025.3609216" TargetMode="External" /><Relationship Type="http://schemas.openxmlformats.org/officeDocument/2006/relationships/hyperlink" Id="rId36" Target="https://github.com/HKUST-Aerial-Robotics/FUEL" TargetMode="External" /><Relationship Type="http://schemas.openxmlformats.org/officeDocument/2006/relationships/hyperlink" Id="rId50" Target="https://github.com/jingsenzhu/BayesianNBV" TargetMode="External" /><Relationship Type="http://schemas.openxmlformats.org/officeDocument/2006/relationships/hyperlink" Id="rId33" Target="https://publications.ri.cmu.edu/storage/publications/2021/06/RSS_2021.pdf" TargetMode="External" /><Relationship Type="http://schemas.openxmlformats.org/officeDocument/2006/relationships/hyperlink" Id="rId35" Target="https://repository.hkust.edu.hk/ir/bitstream/1783.1-108720/1/033635_1.pdf" TargetMode="External" /><Relationship Type="http://schemas.openxmlformats.org/officeDocument/2006/relationships/hyperlink" Id="rId60" Target="https://thibaut.horel.org/submodularity/papers/nemhauser1978.pdf" TargetMode="External" /><Relationship Type="http://schemas.openxmlformats.org/officeDocument/2006/relationships/hyperlink" Id="rId91" Target="inspection_semantic_cue_check.json" TargetMode="External" /><Relationship Type="http://schemas.openxmlformats.org/officeDocument/2006/relationships/hyperlink" Id="rId73" Target="official_baseline_source_manifest.json" TargetMode="External" /><Relationship Type="http://schemas.openxmlformats.org/officeDocument/2006/relationships/hyperlink" Id="rId64" Target="semantic_theory_numerical_checks.json" TargetMode="External" /></Relationships>
</file>

<file path=word/_rels/footnotes.xml.rels><?xml version="1.0" encoding="UTF-8"?><Relationships xmlns="http://schemas.openxmlformats.org/package/2006/relationships"><Relationship Type="http://schemas.openxmlformats.org/officeDocument/2006/relationships/hyperlink" Id="rId108" Target="../../audit_results/counterfactual_candidate_augmentation_replay_adapter_20260911/manifest.json" TargetMode="External" /><Relationship Type="http://schemas.openxmlformats.org/officeDocument/2006/relationships/hyperlink" Id="rId83" Target="../../configs/virtual3d/joint_v4_ablation_development.json" TargetMode="External" /><Relationship Type="http://schemas.openxmlformats.org/officeDocument/2006/relationships/hyperlink" Id="rId134" Target="../../eval_results/competition_v8_1_analysis_20260911/REPORT.md" TargetMode="External" /><Relationship Type="http://schemas.openxmlformats.org/officeDocument/2006/relationships/hyperlink" Id="rId126" Target="../../eval_results/competition_v8_1_execution_20260911/summary.json" TargetMode="External" /><Relationship Type="http://schemas.openxmlformats.org/officeDocument/2006/relationships/hyperlink" Id="rId127" Target="../../eval_results/competition_v8_1_execution_20260911/verification.json" TargetMode="External" /><Relationship Type="http://schemas.openxmlformats.org/officeDocument/2006/relationships/hyperlink" Id="rId136" Target="../../eval_results/competition_v8_1_objective_diagnosis_20260911/REPORT.md" TargetMode="External" /><Relationship Type="http://schemas.openxmlformats.org/officeDocument/2006/relationships/hyperlink" Id="rId107" Target="../../eval_results/counterfactual_candidate_augmentation_v6_20260911/verification.json" TargetMode="External" /><Relationship Type="http://schemas.openxmlformats.org/officeDocument/2006/relationships/hyperlink" Id="rId98" Target="../../eval_results/counterfactual_object_diagnosis_first_20260910/summary.json" TargetMode="External" /><Relationship Type="http://schemas.openxmlformats.org/officeDocument/2006/relationships/hyperlink" Id="rId102" Target="../../eval_results/counterfactual_object_diagnosis_v5_first_20260910/comparison_v3_v5.md" TargetMode="External" /><Relationship Type="http://schemas.openxmlformats.org/officeDocument/2006/relationships/hyperlink" Id="rId104" Target="../../eval_results/counterfactual_prefix_timing_first_20260911/TIMING_AUDIT.md" TargetMode="External" /><Relationship Type="http://schemas.openxmlformats.org/officeDocument/2006/relationships/hyperlink" Id="rId105" Target="../../eval_results/counterfactual_timing_divergences_first_20260911/DIVERGENCE_EXECUTION_REPORT.md" TargetMode="External" /><Relationship Type="http://schemas.openxmlformats.org/officeDocument/2006/relationships/hyperlink" Id="rId109" Target="../../eval_results/counterfactual_union_pool_v6_20260911/results.md" TargetMode="External" /><Relationship Type="http://schemas.openxmlformats.org/officeDocument/2006/relationships/hyperlink" Id="rId95" Target="../../eval_results/counterfactual_view_development_first_20260910/analysis/results.md" TargetMode="External" /><Relationship Type="http://schemas.openxmlformats.org/officeDocument/2006/relationships/hyperlink" Id="rId96" Target="../../eval_results/counterfactual_view_development_first_20260910/verification.json" TargetMode="External" /><Relationship Type="http://schemas.openxmlformats.org/officeDocument/2006/relationships/hyperlink" Id="rId101" Target="../../eval_results/counterfactual_view_v5_rescore_first_20260910/results.md" TargetMode="External" /><Relationship Type="http://schemas.openxmlformats.org/officeDocument/2006/relationships/hyperlink" Id="rId120" Target="../../eval_results/execution_guard_v8_failures_20260911/verification.json" TargetMode="External" /><Relationship Type="http://schemas.openxmlformats.org/officeDocument/2006/relationships/hyperlink" Id="rId121" Target="../../eval_results/execution_guard_v8_success_impacts_20260911/verification.json" TargetMode="External" /><Relationship Type="http://schemas.openxmlformats.org/officeDocument/2006/relationships/hyperlink" Id="rId92" Target="../../eval_results/inspection_v4_integration_smoke_20260910/results.md" TargetMode="External" /><Relationship Type="http://schemas.openxmlformats.org/officeDocument/2006/relationships/hyperlink" Id="rId26" Target="../../eval_results/joint_v3_posterior_development_20260910/development_readiness.json" TargetMode="External" /><Relationship Type="http://schemas.openxmlformats.org/officeDocument/2006/relationships/hyperlink" Id="rId25" Target="../../eval_results/joint_v3_posterior_development_20260910/summary.json" TargetMode="External" /><Relationship Type="http://schemas.openxmlformats.org/officeDocument/2006/relationships/hyperlink" Id="rId82" Target="../../eval_results/joint_v4_feedback_development_20260910/summary.json" TargetMode="External" /><Relationship Type="http://schemas.openxmlformats.org/officeDocument/2006/relationships/hyperlink" Id="rId88" Target="../../eval_results/legacy_surface_posthoc_auc_20260910/INTERPRETATION.md" TargetMode="External" /><Relationship Type="http://schemas.openxmlformats.org/officeDocument/2006/relationships/hyperlink" Id="rId86" Target="../../eval_results/legacy_surface_posthoc_endpoint_20260910/results.md" TargetMode="External" /><Relationship Type="http://schemas.openxmlformats.org/officeDocument/2006/relationships/hyperlink" Id="rId117" Target="../../eval_results/response_v7_value_diagnosis_20260911/REPORT.md" TargetMode="External" /><Relationship Type="http://schemas.openxmlformats.org/officeDocument/2006/relationships/hyperlink" Id="rId84" Target="../../eval_results/semantic_joint_v4_development_review_20260910/results.md" TargetMode="External" /><Relationship Type="http://schemas.openxmlformats.org/officeDocument/2006/relationships/hyperlink" Id="rId113" Target="../../eval_results/semantic_view_response_v6_candidate_transfer_20260911/REVIEW.md" TargetMode="External" /><Relationship Type="http://schemas.openxmlformats.org/officeDocument/2006/relationships/hyperlink" Id="rId112" Target="../../eval_results/semantic_view_response_v6_candidate_transfer_20260911/completion.json" TargetMode="External" /><Relationship Type="http://schemas.openxmlformats.org/officeDocument/2006/relationships/hyperlink" Id="rId24" Target="../SEMANTIC_JOINT_V3_DEVELOPMENT.md" TargetMode="External" /><Relationship Type="http://schemas.openxmlformats.org/officeDocument/2006/relationships/hyperlink" Id="rId71" Target="ARCHITECTURE_INVARIANTS_AND_BASELINE_AUDIT.md" TargetMode="External" /><Relationship Type="http://schemas.openxmlformats.org/officeDocument/2006/relationships/hyperlink" Id="rId106" Target="CANDIDATE_SUFFICIENCY_AUDIT_20260911.md" TargetMode="External" /><Relationship Type="http://schemas.openxmlformats.org/officeDocument/2006/relationships/hyperlink" Id="rId128" Target="COMPETITION_V8_1_SELECTED_METRIC_CROSSCHECK_20260911.md" TargetMode="External" /><Relationship Type="http://schemas.openxmlformats.org/officeDocument/2006/relationships/hyperlink" Id="rId123" Target="COMPETITION_V8_CONSTRUCTION_AUDIT_20260911.md" TargetMode="External" /><Relationship Type="http://schemas.openxmlformats.org/officeDocument/2006/relationships/hyperlink" Id="rId21" Target="COMPETITION_V9_1_RESULT_AND_F1_CEILING.md" TargetMode="External" /><Relationship Type="http://schemas.openxmlformats.org/officeDocument/2006/relationships/hyperlink" Id="rId139" Target="COMPETITION_V9_FEASIBILITY_AND_VARIABLE_POOL.md" TargetMode="External" /><Relationship Type="http://schemas.openxmlformats.org/officeDocument/2006/relationships/hyperlink" Id="rId99" Target="COUNTERFACTUAL_SCORE_DIAGNOSIS.md" TargetMode="External" /><Relationship Type="http://schemas.openxmlformats.org/officeDocument/2006/relationships/hyperlink" Id="rId93" Target="COUNTERFACTUAL_VIEW_UTILITY_PROTOCOL.md" TargetMode="External" /><Relationship Type="http://schemas.openxmlformats.org/officeDocument/2006/relationships/hyperlink" Id="rId63" Target="COVERAGE_SEMANTIC_THEORY.md" TargetMode="External" /><Relationship Type="http://schemas.openxmlformats.org/officeDocument/2006/relationships/hyperlink" Id="rId119" Target="EXECUTION_GUARD_V8_CHANGED_ROUTE_REPORT_20260911.md" TargetMode="External" /><Relationship Type="http://schemas.openxmlformats.org/officeDocument/2006/relationships/hyperlink" Id="rId143" Target="FOUR_MODULE_CPU_CLOSED_LOOP_V10_CONTRACT.md" TargetMode="External" /><Relationship Type="http://schemas.openxmlformats.org/officeDocument/2006/relationships/hyperlink" Id="rId148" Target="FOUR_MODULE_CPU_CLOSED_LOOP_V10_IMPLEMENTATION.md" TargetMode="External" /><Relationship Type="http://schemas.openxmlformats.org/officeDocument/2006/relationships/hyperlink" Id="rId90" Target="INSPECTION_SCENE_SPEC.md" TargetMode="External" /><Relationship Type="http://schemas.openxmlformats.org/officeDocument/2006/relationships/hyperlink" Id="rId79" Target="LEGACY_SURFACE_REFERENCE_AUDIT.json" TargetMode="External" /><Relationship Type="http://schemas.openxmlformats.org/officeDocument/2006/relationships/hyperlink" Id="rId78" Target="LEGACY_SURFACE_REFERENCE_AUDIT.md" TargetMode="External" /><Relationship Type="http://schemas.openxmlformats.org/officeDocument/2006/relationships/hyperlink" Id="rId137" Target="SEMANTIC_BUDGET_ALIGNMENT_V9_DESIGN.md" TargetMode="External" /><Relationship Type="http://schemas.openxmlformats.org/officeDocument/2006/relationships/hyperlink" Id="rId124" Target="SEMANTIC_COMPETITION_V8_PROTOCOL.md" TargetMode="External" /><Relationship Type="http://schemas.openxmlformats.org/officeDocument/2006/relationships/hyperlink" Id="rId100" Target="SEMANTIC_COMPLETION_V5_DESIGN.md" TargetMode="External" /><Relationship Type="http://schemas.openxmlformats.org/officeDocument/2006/relationships/hyperlink" Id="rId72" Target="SEMANTIC_COVERAGE_LITERATURE.md" TargetMode="External" /><Relationship Type="http://schemas.openxmlformats.org/officeDocument/2006/relationships/hyperlink" Id="rId115" Target="SEMANTIC_RESPONSE_V7_IMPLEMENTATION_AND_EVIDENCE.md" TargetMode="External" /><Relationship Type="http://schemas.openxmlformats.org/officeDocument/2006/relationships/hyperlink" Id="rId114" Target="SEMANTIC_V6_NEXT_VALIDATION_PROTOCOL.md" TargetMode="External" /><Relationship Type="http://schemas.openxmlformats.org/officeDocument/2006/relationships/hyperlink" Id="rId111" Target="SEMANTIC_VIEW_RESPONSE_V6_REVIEW.md" TargetMode="External" /><Relationship Type="http://schemas.openxmlformats.org/officeDocument/2006/relationships/hyperlink" Id="rId110" Target="SEMANTIC_VIEW_UTILITY_V6_THEORY.md" TargetMode="External" /><Relationship Type="http://schemas.openxmlformats.org/officeDocument/2006/relationships/hyperlink" Id="rId74" Target="TARE_NATIVE_BUILD_FEASIBILITY.md" TargetMode="External" /><Relationship Type="http://schemas.openxmlformats.org/officeDocument/2006/relationships/hyperlink" Id="rId20" Target="V10_3_SEMANTIC_COVERAGE_RESULT_AND_THEORY.md" TargetMode="External" /><Relationship Type="http://schemas.openxmlformats.org/officeDocument/2006/relationships/hyperlink" Id="rId132" Target="figures/competition_v8_1_selected_results.caption.md" TargetMode="External" /><Relationship Type="http://schemas.openxmlformats.org/officeDocument/2006/relationships/hyperlink" Id="rId133" Target="figures/competition_v8_1_selected_results.json" TargetMode="External" /><Relationship Type="http://schemas.openxmlformats.org/officeDocument/2006/relationships/hyperlink" Id="rId47" Target="https://arxiv.org/abs/2605.23160" TargetMode="External" /><Relationship Type="http://schemas.openxmlformats.org/officeDocument/2006/relationships/hyperlink" Id="rId42" Target="https://arxiv.org/html/2209.15376v2" TargetMode="External" /><Relationship Type="http://schemas.openxmlformats.org/officeDocument/2006/relationships/hyperlink" Id="rId40" Target="https://arxiv.org/html/2302.14569v2" TargetMode="External" /><Relationship Type="http://schemas.openxmlformats.org/officeDocument/2006/relationships/hyperlink" Id="rId38" Target="https://arxiv.org/html/2407.00577v2" TargetMode="External" /><Relationship Type="http://schemas.openxmlformats.org/officeDocument/2006/relationships/hyperlink" Id="rId44" Target="https://arxiv.org/html/2505.22880v3" TargetMode="External" /><Relationship Type="http://schemas.openxmlformats.org/officeDocument/2006/relationships/hyperlink" Id="rId49" Target="https://arxiv.org/html/2605.05095v1" TargetMode="External" /><Relationship Type="http://schemas.openxmlformats.org/officeDocument/2006/relationships/hyperlink" Id="rId45" Target="https://doi.org/10.1109/LRA.2025.3609216" TargetMode="External" /><Relationship Type="http://schemas.openxmlformats.org/officeDocument/2006/relationships/hyperlink" Id="rId36" Target="https://github.com/HKUST-Aerial-Robotics/FUEL" TargetMode="External" /><Relationship Type="http://schemas.openxmlformats.org/officeDocument/2006/relationships/hyperlink" Id="rId50" Target="https://github.com/jingsenzhu/BayesianNBV" TargetMode="External" /><Relationship Type="http://schemas.openxmlformats.org/officeDocument/2006/relationships/hyperlink" Id="rId33" Target="https://publications.ri.cmu.edu/storage/publications/2021/06/RSS_2021.pdf" TargetMode="External" /><Relationship Type="http://schemas.openxmlformats.org/officeDocument/2006/relationships/hyperlink" Id="rId35" Target="https://repository.hkust.edu.hk/ir/bitstream/1783.1-108720/1/033635_1.pdf" TargetMode="External" /><Relationship Type="http://schemas.openxmlformats.org/officeDocument/2006/relationships/hyperlink" Id="rId60" Target="https://thibaut.horel.org/submodularity/papers/nemhauser1978.pdf" TargetMode="External" /><Relationship Type="http://schemas.openxmlformats.org/officeDocument/2006/relationships/hyperlink" Id="rId91" Target="inspection_semantic_cue_check.json" TargetMode="External" /><Relationship Type="http://schemas.openxmlformats.org/officeDocument/2006/relationships/hyperlink" Id="rId73" Target="official_baseline_source_manifest.json" TargetMode="External" /><Relationship Type="http://schemas.openxmlformats.org/officeDocument/2006/relationships/hyperlink" Id="rId64" Target="semantic_theory_numerical_checks.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2026-09-11T07:32:11Z</dcterms:created>
  <dcterms:modified xsi:type="dcterms:W3CDTF">2026-09-11T07:32:11Z</dcterms:modified>
</cp:coreProperties>
</file>

<file path=docProps/custom.xml><?xml version="1.0" encoding="utf-8"?>
<Properties xmlns="http://schemas.openxmlformats.org/officeDocument/2006/custom-properties" xmlns:vt="http://schemas.openxmlformats.org/officeDocument/2006/docPropsVTypes"/>
</file>