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台灣科技集團 員工費用報銷辦法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文件編號</w:t>
            </w:r>
          </w:p>
        </w:tc>
        <w:tc>
          <w:tcPr>
            <w:tcW w:type="dxa" w:w="4320"/>
          </w:tcPr>
          <w:p>
            <w:r>
              <w:t>FIN-POL-2025-004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發布單位</w:t>
            </w:r>
          </w:p>
        </w:tc>
        <w:tc>
          <w:tcPr>
            <w:tcW w:type="dxa" w:w="4320"/>
          </w:tcPr>
          <w:p>
            <w:r>
              <w:t>財務部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核准人</w:t>
            </w:r>
          </w:p>
        </w:tc>
        <w:tc>
          <w:tcPr>
            <w:tcW w:type="dxa" w:w="4320"/>
          </w:tcPr>
          <w:p>
            <w:r>
              <w:t>財務長 (CFO) 劉柏宏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生效日期</w:t>
            </w:r>
          </w:p>
        </w:tc>
        <w:tc>
          <w:tcPr>
            <w:tcW w:type="dxa" w:w="4320"/>
          </w:tcPr>
          <w:p>
            <w:r>
              <w:t>2025 年 1 月 1 日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最後更新</w:t>
            </w:r>
          </w:p>
        </w:tc>
        <w:tc>
          <w:tcPr>
            <w:tcW w:type="dxa" w:w="4320"/>
          </w:tcPr>
          <w:p>
            <w:r>
              <w:t>2025 年 2 月 15 日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機密等級</w:t>
            </w:r>
          </w:p>
        </w:tc>
        <w:tc>
          <w:tcPr>
            <w:tcW w:type="dxa" w:w="4320"/>
          </w:tcPr>
          <w:p>
            <w:r>
              <w:t>L1（公開內部）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適用對象</w:t>
            </w:r>
          </w:p>
        </w:tc>
        <w:tc>
          <w:tcPr>
            <w:tcW w:type="dxa" w:w="4320"/>
          </w:tcPr>
          <w:p>
            <w:r>
              <w:t>全體正職員工、契約員工（依合約另有規定者除外）</w:t>
            </w:r>
          </w:p>
        </w:tc>
      </w:tr>
    </w:tbl>
    <w:p/>
    <w:p>
      <w:pPr>
        <w:pStyle w:val="Heading1"/>
      </w:pPr>
      <w:r>
        <w:t>第一章　目的與適用範圍</w:t>
      </w:r>
    </w:p>
    <w:p>
      <w:r>
        <w:t>本辦法規範本集團員工因公務產生之各類費用申報、審核及核銷作業，以確保費用使用合理、帳務透明，並符合稅務申報要求。個人消費、非業務相關費用及超過規定限額之費用，均不予報銷。</w:t>
      </w:r>
    </w:p>
    <w:p>
      <w:pPr>
        <w:pStyle w:val="Heading1"/>
      </w:pPr>
      <w:r>
        <w:t>第二章　出差費用</w:t>
      </w:r>
    </w:p>
    <w:p>
      <w:pPr>
        <w:pStyle w:val="Heading2"/>
      </w:pPr>
      <w:r>
        <w:t>2.1 國內出差</w:t>
      </w:r>
    </w:p>
    <w:p>
      <w:r>
        <w:t>國內出差費用標準如下表（每人每日上限，含稅）：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費用項目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標準與說明</w:t>
            </w:r>
          </w:p>
        </w:tc>
      </w:tr>
      <w:tr>
        <w:tc>
          <w:tcPr>
            <w:tcW w:type="dxa" w:w="4320"/>
          </w:tcPr>
          <w:p>
            <w:r>
              <w:t>交通</w:t>
            </w:r>
          </w:p>
        </w:tc>
        <w:tc>
          <w:tcPr>
            <w:tcW w:type="dxa" w:w="4320"/>
          </w:tcPr>
          <w:p>
            <w:r>
              <w:t>實報實銷（搭乘高鐵/火車以二等艙為準；計程車須附收據）</w:t>
            </w:r>
          </w:p>
        </w:tc>
      </w:tr>
      <w:tr>
        <w:tc>
          <w:tcPr>
            <w:tcW w:type="dxa" w:w="4320"/>
          </w:tcPr>
          <w:p>
            <w:r>
              <w:t>住宿</w:t>
            </w:r>
          </w:p>
        </w:tc>
        <w:tc>
          <w:tcPr>
            <w:tcW w:type="dxa" w:w="4320"/>
          </w:tcPr>
          <w:p>
            <w:r>
              <w:t>NT$3,500 / 晚（六都地區）；NT$2,500 / 晚（其他縣市）</w:t>
            </w:r>
          </w:p>
        </w:tc>
      </w:tr>
      <w:tr>
        <w:tc>
          <w:tcPr>
            <w:tcW w:type="dxa" w:w="4320"/>
          </w:tcPr>
          <w:p>
            <w:r>
              <w:t>餐費</w:t>
            </w:r>
          </w:p>
        </w:tc>
        <w:tc>
          <w:tcPr>
            <w:tcW w:type="dxa" w:w="4320"/>
          </w:tcPr>
          <w:p>
            <w:r>
              <w:t>NT$600 / 日（早 NT$100 + 午 NT$200 + 晚 NT$300）</w:t>
            </w:r>
          </w:p>
        </w:tc>
      </w:tr>
      <w:tr>
        <w:tc>
          <w:tcPr>
            <w:tcW w:type="dxa" w:w="4320"/>
          </w:tcPr>
          <w:p>
            <w:r>
              <w:t>雜支</w:t>
            </w:r>
          </w:p>
        </w:tc>
        <w:tc>
          <w:tcPr>
            <w:tcW w:type="dxa" w:w="4320"/>
          </w:tcPr>
          <w:p>
            <w:r>
              <w:t>NT$200 / 日（停車、過路費等，須附收據）</w:t>
            </w:r>
          </w:p>
        </w:tc>
      </w:tr>
    </w:tbl>
    <w:p/>
    <w:p>
      <w:pPr>
        <w:pStyle w:val="Heading2"/>
      </w:pPr>
      <w:r>
        <w:t>2.2 國際出差</w:t>
      </w:r>
    </w:p>
    <w:p>
      <w:r>
        <w:t>國際出差費用標準（每人每日，依目的地分級）：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地區等級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費用標準</w:t>
            </w:r>
          </w:p>
        </w:tc>
      </w:tr>
      <w:tr>
        <w:tc>
          <w:tcPr>
            <w:tcW w:type="dxa" w:w="4320"/>
          </w:tcPr>
          <w:p>
            <w:r>
              <w:t>A 級地區（美國、西歐、日本）</w:t>
            </w:r>
          </w:p>
        </w:tc>
        <w:tc>
          <w:tcPr>
            <w:tcW w:type="dxa" w:w="4320"/>
          </w:tcPr>
          <w:p>
            <w:r>
              <w:t>USD 250 / 日（住宿 + 餐費含稅）；機票須購買經濟艙，飛行時間超過 8 小時可申請商務艙</w:t>
            </w:r>
          </w:p>
        </w:tc>
      </w:tr>
      <w:tr>
        <w:tc>
          <w:tcPr>
            <w:tcW w:type="dxa" w:w="4320"/>
          </w:tcPr>
          <w:p>
            <w:r>
              <w:t>B 級地區（東南亞、中國大陸、韓國）</w:t>
            </w:r>
          </w:p>
        </w:tc>
        <w:tc>
          <w:tcPr>
            <w:tcW w:type="dxa" w:w="4320"/>
          </w:tcPr>
          <w:p>
            <w:r>
              <w:t>USD 150 / 日；機票須購買經濟艙</w:t>
            </w:r>
          </w:p>
        </w:tc>
      </w:tr>
      <w:tr>
        <w:tc>
          <w:tcPr>
            <w:tcW w:type="dxa" w:w="4320"/>
          </w:tcPr>
          <w:p>
            <w:r>
              <w:t>C 級地區（其他地區）</w:t>
            </w:r>
          </w:p>
        </w:tc>
        <w:tc>
          <w:tcPr>
            <w:tcW w:type="dxa" w:w="4320"/>
          </w:tcPr>
          <w:p>
            <w:r>
              <w:t>依實際市場行情由主管核定，事前須提出預算申請</w:t>
            </w:r>
          </w:p>
        </w:tc>
      </w:tr>
    </w:tbl>
    <w:p/>
    <w:p>
      <w:pPr>
        <w:pStyle w:val="Heading1"/>
      </w:pPr>
      <w:r>
        <w:t>第三章　商務招待費用</w:t>
      </w:r>
    </w:p>
    <w:p>
      <w:pPr>
        <w:pStyle w:val="Heading2"/>
      </w:pPr>
      <w:r>
        <w:t>3.1 客戶餐飲招待</w:t>
      </w:r>
    </w:p>
    <w:p>
      <w:r>
        <w:t>餐飲招待費用上限（含酒水，每人）：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招待類別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費用上限</w:t>
            </w:r>
          </w:p>
        </w:tc>
      </w:tr>
      <w:tr>
        <w:tc>
          <w:tcPr>
            <w:tcW w:type="dxa" w:w="4320"/>
          </w:tcPr>
          <w:p>
            <w:r>
              <w:t>一般業務餐敘</w:t>
            </w:r>
          </w:p>
        </w:tc>
        <w:tc>
          <w:tcPr>
            <w:tcW w:type="dxa" w:w="4320"/>
          </w:tcPr>
          <w:p>
            <w:r>
              <w:t>NT$1,500 / 人（含稅）</w:t>
            </w:r>
          </w:p>
        </w:tc>
      </w:tr>
      <w:tr>
        <w:tc>
          <w:tcPr>
            <w:tcW w:type="dxa" w:w="4320"/>
          </w:tcPr>
          <w:p>
            <w:r>
              <w:t>重要客戶招待</w:t>
            </w:r>
          </w:p>
        </w:tc>
        <w:tc>
          <w:tcPr>
            <w:tcW w:type="dxa" w:w="4320"/>
          </w:tcPr>
          <w:p>
            <w:r>
              <w:t>NT$3,000 / 人（需副總裁以上核准）</w:t>
            </w:r>
          </w:p>
        </w:tc>
      </w:tr>
      <w:tr>
        <w:tc>
          <w:tcPr>
            <w:tcW w:type="dxa" w:w="4320"/>
          </w:tcPr>
          <w:p>
            <w:r>
              <w:t>高階主管接待</w:t>
            </w:r>
          </w:p>
        </w:tc>
        <w:tc>
          <w:tcPr>
            <w:tcW w:type="dxa" w:w="4320"/>
          </w:tcPr>
          <w:p>
            <w:r>
              <w:t>NT$6,000 / 人（需 CEO 核准）</w:t>
            </w:r>
          </w:p>
        </w:tc>
      </w:tr>
    </w:tbl>
    <w:p/>
    <w:p>
      <w:r>
        <w:t>注意事項：所有招待費用須附受招待對象名單（姓名、公司、職稱）及業務目的說明。純員工聚餐不屬於客戶招待，依員工活動費用辦理。</w:t>
      </w:r>
    </w:p>
    <w:p>
      <w:pPr>
        <w:pStyle w:val="Heading2"/>
      </w:pPr>
      <w:r>
        <w:t>3.2 禁止報銷項目</w:t>
      </w:r>
    </w:p>
    <w:p>
      <w:pPr>
        <w:pStyle w:val="ListBullet"/>
      </w:pPr>
      <w:r>
        <w:t>個人娛樂消費（KTV、電影、遊樂設施等）</w:t>
      </w:r>
    </w:p>
    <w:p>
      <w:pPr>
        <w:pStyle w:val="ListBullet"/>
      </w:pPr>
      <w:r>
        <w:t>賭博相關費用</w:t>
      </w:r>
    </w:p>
    <w:p>
      <w:pPr>
        <w:pStyle w:val="ListBullet"/>
      </w:pPr>
      <w:r>
        <w:t>酒精飲料（超出餐飲招待合理比例者）</w:t>
      </w:r>
    </w:p>
    <w:p>
      <w:pPr>
        <w:pStyle w:val="ListBullet"/>
      </w:pPr>
      <w:r>
        <w:t>非業務需要之個人升等費用（如自行升等商務艙差額）</w:t>
      </w:r>
    </w:p>
    <w:p>
      <w:pPr>
        <w:pStyle w:val="ListBullet"/>
      </w:pPr>
      <w:r>
        <w:t>未附收據或憑證之費用</w:t>
      </w:r>
    </w:p>
    <w:p>
      <w:pPr>
        <w:pStyle w:val="ListBullet"/>
      </w:pPr>
      <w:r>
        <w:t>眷屬或非公司員工之個人費用（除已核准之客戶招待外）</w:t>
      </w:r>
    </w:p>
    <w:p/>
    <w:p>
      <w:pPr>
        <w:pStyle w:val="Heading1"/>
      </w:pPr>
      <w:r>
        <w:t>第四章　辦公耗材與設備採購</w:t>
      </w:r>
    </w:p>
    <w:p>
      <w:r>
        <w:t>員工自行採購辦公用品之報銷上限：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採購類別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規定</w:t>
            </w:r>
          </w:p>
        </w:tc>
      </w:tr>
      <w:tr>
        <w:tc>
          <w:tcPr>
            <w:tcW w:type="dxa" w:w="4320"/>
          </w:tcPr>
          <w:p>
            <w:r>
              <w:t>文具耗材（每次）</w:t>
            </w:r>
          </w:p>
        </w:tc>
        <w:tc>
          <w:tcPr>
            <w:tcW w:type="dxa" w:w="4320"/>
          </w:tcPr>
          <w:p>
            <w:r>
              <w:t>NT$500 以下免核准；NT$501–NT$2,000 需主管核准</w:t>
            </w:r>
          </w:p>
        </w:tc>
      </w:tr>
      <w:tr>
        <w:tc>
          <w:tcPr>
            <w:tcW w:type="dxa" w:w="4320"/>
          </w:tcPr>
          <w:p>
            <w:r>
              <w:t>軟體訂閱（月費）</w:t>
            </w:r>
          </w:p>
        </w:tc>
        <w:tc>
          <w:tcPr>
            <w:tcW w:type="dxa" w:w="4320"/>
          </w:tcPr>
          <w:p>
            <w:r>
              <w:t>需 IT 部門評估及主管核准，由公司統一採購帳號</w:t>
            </w:r>
          </w:p>
        </w:tc>
      </w:tr>
      <w:tr>
        <w:tc>
          <w:tcPr>
            <w:tcW w:type="dxa" w:w="4320"/>
          </w:tcPr>
          <w:p>
            <w:r>
              <w:t>硬體設備</w:t>
            </w:r>
          </w:p>
        </w:tc>
        <w:tc>
          <w:tcPr>
            <w:tcW w:type="dxa" w:w="4320"/>
          </w:tcPr>
          <w:p>
            <w:r>
              <w:t>NT$5,000 以上須透過 IT 部門採購流程，禁止個人報銷</w:t>
            </w:r>
          </w:p>
        </w:tc>
      </w:tr>
    </w:tbl>
    <w:p/>
    <w:p>
      <w:pPr>
        <w:pStyle w:val="Heading1"/>
      </w:pPr>
      <w:r>
        <w:t>第五章　申報程序與時效</w:t>
      </w:r>
    </w:p>
    <w:p>
      <w:pPr>
        <w:pStyle w:val="Heading2"/>
      </w:pPr>
      <w:r>
        <w:t>5.1 申報流程</w:t>
      </w:r>
    </w:p>
    <w:p>
      <w:r>
        <w:rPr>
          <w:b/>
        </w:rPr>
        <w:t>Step 1：</w:t>
      </w:r>
      <w:r>
        <w:t>費用發生後，於費用管理系統（ERP Portal）填寫「費用申報單」，上傳電子收據。</w:t>
      </w:r>
    </w:p>
    <w:p>
      <w:r>
        <w:rPr>
          <w:b/>
        </w:rPr>
        <w:t>Step 2：</w:t>
      </w:r>
      <w:r>
        <w:t>直屬主管於系統審核，超過授權上限者自動轉呈更高層核准。</w:t>
      </w:r>
    </w:p>
    <w:p>
      <w:r>
        <w:rPr>
          <w:b/>
        </w:rPr>
        <w:t>Step 3：</w:t>
      </w:r>
      <w:r>
        <w:t>財務部審核單據合規性，通常於 3 個工作日內完成。</w:t>
      </w:r>
    </w:p>
    <w:p>
      <w:r>
        <w:rPr>
          <w:b/>
        </w:rPr>
        <w:t>Step 4：</w:t>
      </w:r>
      <w:r>
        <w:t>核准後於次月 5 日前匯入薪資帳戶（與薪資分開顯示）。</w:t>
      </w:r>
    </w:p>
    <w:p>
      <w:pPr>
        <w:pStyle w:val="Heading2"/>
      </w:pPr>
      <w:r>
        <w:t>5.2 申報時效</w:t>
      </w:r>
    </w:p>
    <w:p>
      <w:r>
        <w:t>費用須於發生日起 30 日內申報，逾期申報須附說明並由部門副總裁核准。跨年度費用（上年度 10 月以後產生）須於當年 12 月 31 日前完成申報，否則不予受理。</w:t>
      </w:r>
    </w:p>
    <w:p>
      <w:pPr>
        <w:pStyle w:val="Heading1"/>
      </w:pPr>
      <w:r>
        <w:t>第六章　違規處理</w:t>
      </w:r>
    </w:p>
    <w:p>
      <w:r>
        <w:t>虛報、浮報或挪用公款者，依情節輕重處以：口頭警告、書面警告、停職留薪調查、解雇，情節嚴重者移送司法機關處理。所有涉及不實報銷之費用均須全額退還，並加計年利率 10% 之懲罰性利息。</w:t>
      </w:r>
    </w:p>
    <w:p/>
    <w:p>
      <w:pPr>
        <w:jc w:val="center"/>
      </w:pPr>
      <w:r>
        <w:t>如有疑問，請洽財務部費用報銷窗口：expense@twtech.com.tw　分機 2288</w:t>
      </w:r>
    </w:p>
    <w:p>
      <w:pPr>
        <w:jc w:val="center"/>
      </w:pPr>
      <w:r>
        <w:t>—— 文件結束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