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台灣科技集團 法務合規政策手冊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4320"/>
          </w:tcPr>
          <w:p>
            <w:r>
              <w:t>LEGAL-POL-2025-001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發布單位</w:t>
            </w:r>
          </w:p>
        </w:tc>
        <w:tc>
          <w:tcPr>
            <w:tcW w:type="dxa" w:w="4320"/>
          </w:tcPr>
          <w:p>
            <w:r>
              <w:t>法務部 × 法務長辦公室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核准人</w:t>
            </w:r>
          </w:p>
        </w:tc>
        <w:tc>
          <w:tcPr>
            <w:tcW w:type="dxa" w:w="4320"/>
          </w:tcPr>
          <w:p>
            <w:r>
              <w:t>法務長 (CLO) 張雅芳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生效日期</w:t>
            </w:r>
          </w:p>
        </w:tc>
        <w:tc>
          <w:tcPr>
            <w:tcW w:type="dxa" w:w="4320"/>
          </w:tcPr>
          <w:p>
            <w:r>
              <w:t>2025 年 1 月 1 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最後更新</w:t>
            </w:r>
          </w:p>
        </w:tc>
        <w:tc>
          <w:tcPr>
            <w:tcW w:type="dxa" w:w="4320"/>
          </w:tcPr>
          <w:p>
            <w:r>
              <w:t>2025 年 3 月 20 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機密等級</w:t>
            </w:r>
          </w:p>
        </w:tc>
        <w:tc>
          <w:tcPr>
            <w:tcW w:type="dxa" w:w="4320"/>
          </w:tcPr>
          <w:p>
            <w:r>
              <w:t>L2（內部使用）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適用對象</w:t>
            </w:r>
          </w:p>
        </w:tc>
        <w:tc>
          <w:tcPr>
            <w:tcW w:type="dxa" w:w="4320"/>
          </w:tcPr>
          <w:p>
            <w:r>
              <w:t>全體員工、承包商、合作夥伴</w:t>
            </w:r>
          </w:p>
        </w:tc>
      </w:tr>
    </w:tbl>
    <w:p/>
    <w:p>
      <w:pPr>
        <w:pStyle w:val="Heading1"/>
      </w:pPr>
      <w:r>
        <w:t>第一章　政策目的與範圍</w:t>
      </w:r>
    </w:p>
    <w:p>
      <w:r>
        <w:t>本手冊旨在確保台灣科技集團及其子公司（以下統稱「本集團」）之全體員工、承包商及合作夥伴，在日常業務中遵守適用法律法規、監管要求及集團內部行為準則。</w:t>
      </w:r>
    </w:p>
    <w:p>
      <w:r>
        <w:t>本政策適用範圍涵蓋：（1）台灣境內所有營業據點；（2）海外子公司及辦事處；（3）以本集團名義對外締約之第三方廠商。</w:t>
      </w:r>
    </w:p>
    <w:p>
      <w:pPr>
        <w:pStyle w:val="Heading1"/>
      </w:pPr>
      <w:r>
        <w:t>第二章　合約管理規範</w:t>
      </w:r>
    </w:p>
    <w:p>
      <w:pPr>
        <w:pStyle w:val="Heading2"/>
      </w:pPr>
      <w:r>
        <w:t>2.1 合約審查流程</w:t>
      </w:r>
    </w:p>
    <w:p>
      <w:r>
        <w:t>合約簽署授權門檻如下：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合約金額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核准層級</w:t>
            </w:r>
          </w:p>
        </w:tc>
      </w:tr>
      <w:tr>
        <w:tc>
          <w:tcPr>
            <w:tcW w:type="dxa" w:w="4320"/>
          </w:tcPr>
          <w:p>
            <w:r>
              <w:t>NT$500,000 以下</w:t>
            </w:r>
          </w:p>
        </w:tc>
        <w:tc>
          <w:tcPr>
            <w:tcW w:type="dxa" w:w="4320"/>
          </w:tcPr>
          <w:p>
            <w:r>
              <w:t>部門主管核准，法務部備查</w:t>
            </w:r>
          </w:p>
        </w:tc>
      </w:tr>
      <w:tr>
        <w:tc>
          <w:tcPr>
            <w:tcW w:type="dxa" w:w="4320"/>
          </w:tcPr>
          <w:p>
            <w:r>
              <w:t>NT$500,001 – NT$5,000,000</w:t>
            </w:r>
          </w:p>
        </w:tc>
        <w:tc>
          <w:tcPr>
            <w:tcW w:type="dxa" w:w="4320"/>
          </w:tcPr>
          <w:p>
            <w:r>
              <w:t>法務部審查 + 副總裁核准</w:t>
            </w:r>
          </w:p>
        </w:tc>
      </w:tr>
      <w:tr>
        <w:tc>
          <w:tcPr>
            <w:tcW w:type="dxa" w:w="4320"/>
          </w:tcPr>
          <w:p>
            <w:r>
              <w:t>NT$5,000,001 以上</w:t>
            </w:r>
          </w:p>
        </w:tc>
        <w:tc>
          <w:tcPr>
            <w:tcW w:type="dxa" w:w="4320"/>
          </w:tcPr>
          <w:p>
            <w:r>
              <w:t>法務部審查 + 執行長 (CEO) 核准</w:t>
            </w:r>
          </w:p>
        </w:tc>
      </w:tr>
      <w:tr>
        <w:tc>
          <w:tcPr>
            <w:tcW w:type="dxa" w:w="4320"/>
          </w:tcPr>
          <w:p>
            <w:r>
              <w:t>跨國合約（任何金額）</w:t>
            </w:r>
          </w:p>
        </w:tc>
        <w:tc>
          <w:tcPr>
            <w:tcW w:type="dxa" w:w="4320"/>
          </w:tcPr>
          <w:p>
            <w:r>
              <w:t>法務部審查 + 法務長核准 + 董事會知會</w:t>
            </w:r>
          </w:p>
        </w:tc>
      </w:tr>
    </w:tbl>
    <w:p/>
    <w:p>
      <w:pPr>
        <w:pStyle w:val="Heading2"/>
      </w:pPr>
      <w:r>
        <w:t>2.2 合約範本使用規定</w:t>
      </w:r>
    </w:p>
    <w:p>
      <w:r>
        <w:t>所有對外合約必須使用法務部核准之標準範本。禁止自行修改核心條款（包含但不限於：違約責任、智慧財產權歸屬、保密義務、爭議解決條款）。如需偏離標準條款，須填寫「合約條款偏離申請單」（LEGAL-FORM-003），經法務部書面核准後方可執行。</w:t>
      </w:r>
    </w:p>
    <w:p>
      <w:pPr>
        <w:pStyle w:val="Heading1"/>
      </w:pPr>
      <w:r>
        <w:t>第三章　保密義務與資料保護</w:t>
      </w:r>
    </w:p>
    <w:p>
      <w:pPr>
        <w:pStyle w:val="Heading2"/>
      </w:pPr>
      <w:r>
        <w:t>3.1 保密協議 (NDA)</w:t>
      </w:r>
    </w:p>
    <w:p>
      <w:r>
        <w:t>與任何外部對象（含潛在合作夥伴、應聘者、顧問）進行涉及本集團機密資訊之洽談前，雙方須事先簽署保密協議。法務部維護標準 NDA 範本，分為單向版（LEGAL-NDA-UNI）及雙向版（LEGAL-NDA-MUT）。保密協議有效期限最長 5 年，如需延長須重新簽署。</w:t>
      </w:r>
    </w:p>
    <w:p>
      <w:pPr>
        <w:pStyle w:val="Heading2"/>
      </w:pPr>
      <w:r>
        <w:t>3.2 個人資料保護</w:t>
      </w:r>
    </w:p>
    <w:p>
      <w:r>
        <w:t>本集團依據《個人資料保護法》（個資法）處理所有個人資料。主要合規要求：</w:t>
      </w:r>
    </w:p>
    <w:p>
      <w:pPr>
        <w:pStyle w:val="ListBullet"/>
      </w:pPr>
      <w:r>
        <w:t>蒐集個資前須取得當事人書面同意，並告知蒐集目的與使用範圍。</w:t>
      </w:r>
    </w:p>
    <w:p>
      <w:pPr>
        <w:pStyle w:val="ListBullet"/>
      </w:pPr>
      <w:r>
        <w:t>個資儲存期限依業務需要決定，超過保存期限後須依規定銷毀。</w:t>
      </w:r>
    </w:p>
    <w:p>
      <w:pPr>
        <w:pStyle w:val="ListBullet"/>
      </w:pPr>
      <w:r>
        <w:t>發生個資外洩事件，須於 72 小時內通報主管機關及受影響當事人。</w:t>
      </w:r>
    </w:p>
    <w:p>
      <w:pPr>
        <w:pStyle w:val="ListBullet"/>
      </w:pPr>
      <w:r>
        <w:t>跨境傳輸個資須事先取得法務部核准並評估目標國之個資保護水準。</w:t>
      </w:r>
    </w:p>
    <w:p/>
    <w:p>
      <w:pPr>
        <w:pStyle w:val="Heading1"/>
      </w:pPr>
      <w:r>
        <w:t>第四章　反貪腐與利益迴避</w:t>
      </w:r>
    </w:p>
    <w:p>
      <w:pPr>
        <w:pStyle w:val="Heading2"/>
      </w:pPr>
      <w:r>
        <w:t>4.1 禁止行為</w:t>
      </w:r>
    </w:p>
    <w:p>
      <w:pPr>
        <w:pStyle w:val="ListBullet"/>
      </w:pPr>
      <w:r>
        <w:t>直接或間接提供、承諾、要求或收受任何形式之賄賂或不當利益。</w:t>
      </w:r>
    </w:p>
    <w:p>
      <w:pPr>
        <w:pStyle w:val="ListBullet"/>
      </w:pPr>
      <w:r>
        <w:t>以個人名義接受超過 NT$1,000 單次價值之商業餽贈（禮品、餐飲、娛樂）。</w:t>
      </w:r>
    </w:p>
    <w:p>
      <w:pPr>
        <w:pStyle w:val="ListBullet"/>
      </w:pPr>
      <w:r>
        <w:t>利用職務之便為自身或關係人謀取私利。</w:t>
      </w:r>
    </w:p>
    <w:p>
      <w:pPr>
        <w:pStyle w:val="ListBullet"/>
      </w:pPr>
      <w:r>
        <w:t>在具有利益衝突之交易中參與決策，未事先申報迴避。</w:t>
      </w:r>
    </w:p>
    <w:p>
      <w:pPr>
        <w:pStyle w:val="Heading2"/>
      </w:pPr>
      <w:r>
        <w:t>4.2 申報與迴避程序</w:t>
      </w:r>
    </w:p>
    <w:p>
      <w:r>
        <w:t>員工如發現潛在利益衝突，須於知悉後 5 個工作日內填寫「利益衝突申報表」（LEGAL-FORM-007）送交直屬主管及法務部。法務部於 10 個工作日內裁決迴避方式。</w:t>
      </w:r>
    </w:p>
    <w:p>
      <w:pPr>
        <w:pStyle w:val="Heading1"/>
      </w:pPr>
      <w:r>
        <w:t>第五章　違規通報與吹哨者保護</w:t>
      </w:r>
    </w:p>
    <w:p>
      <w:r>
        <w:t>任何員工如發現疑似違反本政策之行為，可透過以下管道匿名通報：</w:t>
      </w:r>
    </w:p>
    <w:p>
      <w:pPr>
        <w:pStyle w:val="ListBullet"/>
      </w:pPr>
      <w:r>
        <w:t>法務部合規信箱：compliance@twtech.com.tw</w:t>
      </w:r>
    </w:p>
    <w:p>
      <w:pPr>
        <w:pStyle w:val="ListBullet"/>
      </w:pPr>
      <w:r>
        <w:t>獨立外部通報熱線：0800-XXX-XXX（24 小時，第三方管理）</w:t>
      </w:r>
    </w:p>
    <w:p>
      <w:pPr>
        <w:pStyle w:val="ListBullet"/>
      </w:pPr>
      <w:r>
        <w:t>董事會審計委員會直接通報信箱：audit@twtech.com.tw</w:t>
      </w:r>
    </w:p>
    <w:p>
      <w:r>
        <w:t>本集團嚴格禁止對善意通報人採取任何形式之報復行動。違者依懲戒規定最重得予解雇。</w:t>
      </w:r>
    </w:p>
    <w:p>
      <w:pPr>
        <w:pStyle w:val="Heading1"/>
      </w:pPr>
      <w:r>
        <w:t>第六章　培訓與政策更新</w:t>
      </w:r>
    </w:p>
    <w:p>
      <w:r>
        <w:t>所有新進員工須於到職 30 日內完成法務合規線上課程（時長約 2 小時）。現有員工每年須完成年度複訓，並通過線上測驗（及格分數 80 分）。本手冊每年至少審查一次，如有法規變動隨時更新並公告全員。</w:t>
      </w:r>
    </w:p>
    <w:p/>
    <w:p>
      <w:pPr>
        <w:jc w:val="center"/>
      </w:pPr>
      <w:r>
        <w:t>—— 文件結束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