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E1" w:rsidRDefault="00E95601">
      <w:r>
        <w:t>See the Java program for code used to generate these charts.</w:t>
      </w:r>
      <w:r w:rsidR="00B220DC">
        <w:t xml:space="preserve">  Results may vary depending on your system.</w:t>
      </w:r>
    </w:p>
    <w:tbl>
      <w:tblPr>
        <w:tblStyle w:val="MediumGrid3-Accent1"/>
        <w:tblW w:w="0" w:type="auto"/>
        <w:tblLook w:val="04A0"/>
      </w:tblPr>
      <w:tblGrid>
        <w:gridCol w:w="1368"/>
        <w:gridCol w:w="1368"/>
        <w:gridCol w:w="1368"/>
        <w:gridCol w:w="1368"/>
        <w:gridCol w:w="1368"/>
        <w:gridCol w:w="1368"/>
        <w:gridCol w:w="1368"/>
      </w:tblGrid>
      <w:tr w:rsidR="0035101E" w:rsidTr="001C1271">
        <w:trPr>
          <w:cnfStyle w:val="100000000000"/>
        </w:trPr>
        <w:tc>
          <w:tcPr>
            <w:cnfStyle w:val="001000000000"/>
            <w:tcW w:w="9576" w:type="dxa"/>
            <w:gridSpan w:val="7"/>
          </w:tcPr>
          <w:p w:rsidR="0035101E" w:rsidRPr="001C1271" w:rsidRDefault="0035101E" w:rsidP="00A143C1">
            <w:pPr>
              <w:rPr>
                <w:sz w:val="32"/>
                <w:szCs w:val="32"/>
              </w:rPr>
            </w:pPr>
            <w:r w:rsidRPr="001C1271">
              <w:rPr>
                <w:sz w:val="32"/>
                <w:szCs w:val="32"/>
              </w:rPr>
              <w:t xml:space="preserve">Execution Time (in milliseconds) </w:t>
            </w:r>
            <w:r w:rsidR="00A143C1" w:rsidRPr="001C1271">
              <w:rPr>
                <w:sz w:val="32"/>
                <w:szCs w:val="32"/>
              </w:rPr>
              <w:t>With Output</w:t>
            </w:r>
          </w:p>
        </w:tc>
      </w:tr>
      <w:tr w:rsidR="0035101E" w:rsidTr="001C1271">
        <w:trPr>
          <w:cnfStyle w:val="000000100000"/>
        </w:trPr>
        <w:tc>
          <w:tcPr>
            <w:cnfStyle w:val="001000000000"/>
            <w:tcW w:w="1368" w:type="dxa"/>
          </w:tcPr>
          <w:p w:rsidR="0035101E" w:rsidRPr="0035101E" w:rsidRDefault="0035101E">
            <w:pPr>
              <w:rPr>
                <w:b w:val="0"/>
                <w:sz w:val="24"/>
                <w:szCs w:val="24"/>
              </w:rPr>
            </w:pPr>
            <w:r w:rsidRPr="0035101E">
              <w:rPr>
                <w:b w:val="0"/>
                <w:sz w:val="24"/>
                <w:szCs w:val="24"/>
              </w:rPr>
              <w:t>Max Value:</w:t>
            </w:r>
          </w:p>
        </w:tc>
        <w:tc>
          <w:tcPr>
            <w:tcW w:w="1368" w:type="dxa"/>
          </w:tcPr>
          <w:p w:rsidR="0035101E" w:rsidRPr="0035101E" w:rsidRDefault="0035101E" w:rsidP="0035101E">
            <w:pPr>
              <w:jc w:val="center"/>
              <w:cnfStyle w:val="000000100000"/>
              <w:rPr>
                <w:b/>
                <w:sz w:val="24"/>
                <w:szCs w:val="24"/>
              </w:rPr>
            </w:pPr>
            <w:r w:rsidRPr="0035101E">
              <w:rPr>
                <w:b/>
                <w:sz w:val="24"/>
                <w:szCs w:val="24"/>
              </w:rPr>
              <w:t>8,000,000</w:t>
            </w:r>
          </w:p>
        </w:tc>
        <w:tc>
          <w:tcPr>
            <w:tcW w:w="1368" w:type="dxa"/>
          </w:tcPr>
          <w:p w:rsidR="0035101E" w:rsidRPr="0035101E" w:rsidRDefault="0035101E" w:rsidP="0035101E">
            <w:pPr>
              <w:jc w:val="center"/>
              <w:cnfStyle w:val="000000100000"/>
              <w:rPr>
                <w:b/>
                <w:sz w:val="24"/>
                <w:szCs w:val="24"/>
              </w:rPr>
            </w:pPr>
            <w:r w:rsidRPr="0035101E">
              <w:rPr>
                <w:b/>
                <w:sz w:val="24"/>
                <w:szCs w:val="24"/>
              </w:rPr>
              <w:t>10,000,000</w:t>
            </w:r>
          </w:p>
        </w:tc>
        <w:tc>
          <w:tcPr>
            <w:tcW w:w="1368" w:type="dxa"/>
          </w:tcPr>
          <w:p w:rsidR="0035101E" w:rsidRPr="0035101E" w:rsidRDefault="0035101E" w:rsidP="0035101E">
            <w:pPr>
              <w:jc w:val="center"/>
              <w:cnfStyle w:val="000000100000"/>
              <w:rPr>
                <w:b/>
                <w:sz w:val="24"/>
                <w:szCs w:val="24"/>
              </w:rPr>
            </w:pPr>
            <w:r w:rsidRPr="0035101E">
              <w:rPr>
                <w:b/>
                <w:sz w:val="24"/>
                <w:szCs w:val="24"/>
              </w:rPr>
              <w:t>12,000,000</w:t>
            </w:r>
          </w:p>
        </w:tc>
        <w:tc>
          <w:tcPr>
            <w:tcW w:w="1368" w:type="dxa"/>
          </w:tcPr>
          <w:p w:rsidR="0035101E" w:rsidRPr="0035101E" w:rsidRDefault="0035101E" w:rsidP="0035101E">
            <w:pPr>
              <w:jc w:val="center"/>
              <w:cnfStyle w:val="000000100000"/>
              <w:rPr>
                <w:b/>
                <w:sz w:val="24"/>
                <w:szCs w:val="24"/>
              </w:rPr>
            </w:pPr>
            <w:r w:rsidRPr="0035101E">
              <w:rPr>
                <w:b/>
                <w:sz w:val="24"/>
                <w:szCs w:val="24"/>
              </w:rPr>
              <w:t>14,000,000</w:t>
            </w:r>
          </w:p>
        </w:tc>
        <w:tc>
          <w:tcPr>
            <w:tcW w:w="1368" w:type="dxa"/>
          </w:tcPr>
          <w:p w:rsidR="0035101E" w:rsidRPr="0035101E" w:rsidRDefault="0035101E" w:rsidP="0035101E">
            <w:pPr>
              <w:jc w:val="center"/>
              <w:cnfStyle w:val="000000100000"/>
              <w:rPr>
                <w:b/>
                <w:sz w:val="24"/>
                <w:szCs w:val="24"/>
              </w:rPr>
            </w:pPr>
            <w:r w:rsidRPr="0035101E">
              <w:rPr>
                <w:b/>
                <w:sz w:val="24"/>
                <w:szCs w:val="24"/>
              </w:rPr>
              <w:t>16,000,000</w:t>
            </w:r>
          </w:p>
        </w:tc>
        <w:tc>
          <w:tcPr>
            <w:tcW w:w="1368" w:type="dxa"/>
          </w:tcPr>
          <w:p w:rsidR="0035101E" w:rsidRPr="0035101E" w:rsidRDefault="0035101E" w:rsidP="0035101E">
            <w:pPr>
              <w:jc w:val="center"/>
              <w:cnfStyle w:val="000000100000"/>
              <w:rPr>
                <w:b/>
                <w:sz w:val="24"/>
                <w:szCs w:val="24"/>
              </w:rPr>
            </w:pPr>
            <w:r w:rsidRPr="0035101E">
              <w:rPr>
                <w:b/>
                <w:sz w:val="24"/>
                <w:szCs w:val="24"/>
              </w:rPr>
              <w:t>18,000,000</w:t>
            </w:r>
          </w:p>
        </w:tc>
      </w:tr>
      <w:tr w:rsidR="0035101E" w:rsidTr="001C1271">
        <w:tc>
          <w:tcPr>
            <w:cnfStyle w:val="001000000000"/>
            <w:tcW w:w="1368" w:type="dxa"/>
          </w:tcPr>
          <w:p w:rsidR="0035101E" w:rsidRPr="0035101E" w:rsidRDefault="0035101E">
            <w:pPr>
              <w:rPr>
                <w:b w:val="0"/>
                <w:sz w:val="24"/>
                <w:szCs w:val="24"/>
              </w:rPr>
            </w:pPr>
            <w:r w:rsidRPr="0035101E">
              <w:rPr>
                <w:b w:val="0"/>
                <w:sz w:val="24"/>
                <w:szCs w:val="24"/>
              </w:rPr>
              <w:t>Algorithms</w:t>
            </w:r>
          </w:p>
        </w:tc>
        <w:tc>
          <w:tcPr>
            <w:tcW w:w="1368" w:type="dxa"/>
          </w:tcPr>
          <w:p w:rsidR="0035101E" w:rsidRPr="0035101E" w:rsidRDefault="0035101E" w:rsidP="0035101E">
            <w:pPr>
              <w:jc w:val="center"/>
              <w:cnfStyle w:val="000000000000"/>
              <w:rPr>
                <w:sz w:val="24"/>
                <w:szCs w:val="24"/>
              </w:rPr>
            </w:pPr>
          </w:p>
        </w:tc>
        <w:tc>
          <w:tcPr>
            <w:tcW w:w="1368" w:type="dxa"/>
          </w:tcPr>
          <w:p w:rsidR="0035101E" w:rsidRPr="0035101E" w:rsidRDefault="0035101E" w:rsidP="0035101E">
            <w:pPr>
              <w:jc w:val="center"/>
              <w:cnfStyle w:val="000000000000"/>
              <w:rPr>
                <w:sz w:val="24"/>
                <w:szCs w:val="24"/>
              </w:rPr>
            </w:pPr>
          </w:p>
        </w:tc>
        <w:tc>
          <w:tcPr>
            <w:tcW w:w="1368" w:type="dxa"/>
          </w:tcPr>
          <w:p w:rsidR="0035101E" w:rsidRPr="0035101E" w:rsidRDefault="0035101E" w:rsidP="0035101E">
            <w:pPr>
              <w:jc w:val="center"/>
              <w:cnfStyle w:val="000000000000"/>
              <w:rPr>
                <w:sz w:val="24"/>
                <w:szCs w:val="24"/>
              </w:rPr>
            </w:pPr>
          </w:p>
        </w:tc>
        <w:tc>
          <w:tcPr>
            <w:tcW w:w="1368" w:type="dxa"/>
          </w:tcPr>
          <w:p w:rsidR="0035101E" w:rsidRPr="0035101E" w:rsidRDefault="0035101E" w:rsidP="0035101E">
            <w:pPr>
              <w:jc w:val="center"/>
              <w:cnfStyle w:val="000000000000"/>
              <w:rPr>
                <w:sz w:val="24"/>
                <w:szCs w:val="24"/>
              </w:rPr>
            </w:pPr>
          </w:p>
        </w:tc>
        <w:tc>
          <w:tcPr>
            <w:tcW w:w="1368" w:type="dxa"/>
          </w:tcPr>
          <w:p w:rsidR="0035101E" w:rsidRPr="0035101E" w:rsidRDefault="0035101E" w:rsidP="0035101E">
            <w:pPr>
              <w:jc w:val="center"/>
              <w:cnfStyle w:val="000000000000"/>
              <w:rPr>
                <w:sz w:val="24"/>
                <w:szCs w:val="24"/>
              </w:rPr>
            </w:pPr>
          </w:p>
        </w:tc>
        <w:tc>
          <w:tcPr>
            <w:tcW w:w="1368" w:type="dxa"/>
          </w:tcPr>
          <w:p w:rsidR="0035101E" w:rsidRPr="0035101E" w:rsidRDefault="0035101E" w:rsidP="0035101E">
            <w:pPr>
              <w:jc w:val="center"/>
              <w:cnfStyle w:val="000000000000"/>
              <w:rPr>
                <w:sz w:val="24"/>
                <w:szCs w:val="24"/>
              </w:rPr>
            </w:pPr>
          </w:p>
        </w:tc>
      </w:tr>
      <w:tr w:rsidR="0035101E" w:rsidTr="001C1271">
        <w:trPr>
          <w:cnfStyle w:val="000000100000"/>
        </w:trPr>
        <w:tc>
          <w:tcPr>
            <w:cnfStyle w:val="001000000000"/>
            <w:tcW w:w="1368" w:type="dxa"/>
          </w:tcPr>
          <w:p w:rsidR="0035101E" w:rsidRPr="0035101E" w:rsidRDefault="0035101E">
            <w:pPr>
              <w:rPr>
                <w:b w:val="0"/>
                <w:sz w:val="24"/>
                <w:szCs w:val="24"/>
              </w:rPr>
            </w:pPr>
            <w:r w:rsidRPr="0035101E">
              <w:rPr>
                <w:b w:val="0"/>
                <w:sz w:val="24"/>
                <w:szCs w:val="24"/>
              </w:rPr>
              <w:t>Listing 22.5</w:t>
            </w:r>
          </w:p>
        </w:tc>
        <w:tc>
          <w:tcPr>
            <w:tcW w:w="1368" w:type="dxa"/>
          </w:tcPr>
          <w:p w:rsidR="0035101E" w:rsidRPr="0035101E" w:rsidRDefault="0035101E" w:rsidP="00EB6549">
            <w:pPr>
              <w:jc w:val="center"/>
              <w:cnfStyle w:val="000000100000"/>
              <w:rPr>
                <w:sz w:val="24"/>
                <w:szCs w:val="24"/>
              </w:rPr>
            </w:pPr>
            <w:r w:rsidRPr="0035101E">
              <w:rPr>
                <w:sz w:val="24"/>
                <w:szCs w:val="24"/>
              </w:rPr>
              <w:t>15</w:t>
            </w:r>
            <w:r w:rsidR="00EB6549">
              <w:rPr>
                <w:sz w:val="24"/>
                <w:szCs w:val="24"/>
              </w:rPr>
              <w:t>855</w:t>
            </w:r>
          </w:p>
        </w:tc>
        <w:tc>
          <w:tcPr>
            <w:tcW w:w="1368" w:type="dxa"/>
          </w:tcPr>
          <w:p w:rsidR="0035101E" w:rsidRPr="0035101E" w:rsidRDefault="00EB6549" w:rsidP="0035101E">
            <w:pPr>
              <w:jc w:val="center"/>
              <w:cnfStyle w:val="000000100000"/>
              <w:rPr>
                <w:sz w:val="24"/>
                <w:szCs w:val="24"/>
              </w:rPr>
            </w:pPr>
            <w:r>
              <w:rPr>
                <w:sz w:val="24"/>
                <w:szCs w:val="24"/>
              </w:rPr>
              <w:t>21135</w:t>
            </w:r>
          </w:p>
        </w:tc>
        <w:tc>
          <w:tcPr>
            <w:tcW w:w="1368" w:type="dxa"/>
          </w:tcPr>
          <w:p w:rsidR="0035101E" w:rsidRPr="0035101E" w:rsidRDefault="00EB6549" w:rsidP="0035101E">
            <w:pPr>
              <w:jc w:val="center"/>
              <w:cnfStyle w:val="000000100000"/>
              <w:rPr>
                <w:sz w:val="24"/>
                <w:szCs w:val="24"/>
              </w:rPr>
            </w:pPr>
            <w:r>
              <w:rPr>
                <w:sz w:val="24"/>
                <w:szCs w:val="24"/>
              </w:rPr>
              <w:t>26924</w:t>
            </w:r>
          </w:p>
        </w:tc>
        <w:tc>
          <w:tcPr>
            <w:tcW w:w="1368" w:type="dxa"/>
          </w:tcPr>
          <w:p w:rsidR="0035101E" w:rsidRPr="0035101E" w:rsidRDefault="00EB6549" w:rsidP="0035101E">
            <w:pPr>
              <w:jc w:val="center"/>
              <w:cnfStyle w:val="000000100000"/>
              <w:rPr>
                <w:sz w:val="24"/>
                <w:szCs w:val="24"/>
              </w:rPr>
            </w:pPr>
            <w:r>
              <w:rPr>
                <w:sz w:val="24"/>
                <w:szCs w:val="24"/>
              </w:rPr>
              <w:t>33047</w:t>
            </w:r>
          </w:p>
        </w:tc>
        <w:tc>
          <w:tcPr>
            <w:tcW w:w="1368" w:type="dxa"/>
          </w:tcPr>
          <w:p w:rsidR="0035101E" w:rsidRPr="0035101E" w:rsidRDefault="00EB6549" w:rsidP="0035101E">
            <w:pPr>
              <w:jc w:val="center"/>
              <w:cnfStyle w:val="000000100000"/>
              <w:rPr>
                <w:sz w:val="24"/>
                <w:szCs w:val="24"/>
              </w:rPr>
            </w:pPr>
            <w:r>
              <w:rPr>
                <w:sz w:val="24"/>
                <w:szCs w:val="24"/>
              </w:rPr>
              <w:t>39402</w:t>
            </w:r>
          </w:p>
        </w:tc>
        <w:tc>
          <w:tcPr>
            <w:tcW w:w="1368" w:type="dxa"/>
          </w:tcPr>
          <w:p w:rsidR="0035101E" w:rsidRPr="0035101E" w:rsidRDefault="00EB6549" w:rsidP="0035101E">
            <w:pPr>
              <w:jc w:val="center"/>
              <w:cnfStyle w:val="000000100000"/>
              <w:rPr>
                <w:sz w:val="24"/>
                <w:szCs w:val="24"/>
              </w:rPr>
            </w:pPr>
            <w:r>
              <w:rPr>
                <w:sz w:val="24"/>
                <w:szCs w:val="24"/>
              </w:rPr>
              <w:t>46326</w:t>
            </w:r>
          </w:p>
        </w:tc>
      </w:tr>
      <w:tr w:rsidR="0035101E" w:rsidTr="001C1271">
        <w:tc>
          <w:tcPr>
            <w:cnfStyle w:val="001000000000"/>
            <w:tcW w:w="1368" w:type="dxa"/>
          </w:tcPr>
          <w:p w:rsidR="0035101E" w:rsidRPr="0035101E" w:rsidRDefault="0035101E">
            <w:pPr>
              <w:rPr>
                <w:b w:val="0"/>
                <w:sz w:val="24"/>
                <w:szCs w:val="24"/>
              </w:rPr>
            </w:pPr>
            <w:r w:rsidRPr="0035101E">
              <w:rPr>
                <w:b w:val="0"/>
                <w:sz w:val="24"/>
                <w:szCs w:val="24"/>
              </w:rPr>
              <w:t>Listing 22.6</w:t>
            </w:r>
          </w:p>
        </w:tc>
        <w:tc>
          <w:tcPr>
            <w:tcW w:w="1368" w:type="dxa"/>
          </w:tcPr>
          <w:p w:rsidR="0035101E" w:rsidRPr="0035101E" w:rsidRDefault="00EB6549" w:rsidP="0035101E">
            <w:pPr>
              <w:jc w:val="center"/>
              <w:cnfStyle w:val="000000000000"/>
              <w:rPr>
                <w:sz w:val="24"/>
                <w:szCs w:val="24"/>
              </w:rPr>
            </w:pPr>
            <w:r>
              <w:rPr>
                <w:sz w:val="24"/>
                <w:szCs w:val="24"/>
              </w:rPr>
              <w:t>4710</w:t>
            </w:r>
          </w:p>
        </w:tc>
        <w:tc>
          <w:tcPr>
            <w:tcW w:w="1368" w:type="dxa"/>
          </w:tcPr>
          <w:p w:rsidR="0035101E" w:rsidRPr="0035101E" w:rsidRDefault="00EB6549" w:rsidP="0035101E">
            <w:pPr>
              <w:jc w:val="center"/>
              <w:cnfStyle w:val="000000000000"/>
              <w:rPr>
                <w:sz w:val="24"/>
                <w:szCs w:val="24"/>
              </w:rPr>
            </w:pPr>
            <w:r>
              <w:rPr>
                <w:sz w:val="24"/>
                <w:szCs w:val="24"/>
              </w:rPr>
              <w:t>5856</w:t>
            </w:r>
          </w:p>
        </w:tc>
        <w:tc>
          <w:tcPr>
            <w:tcW w:w="1368" w:type="dxa"/>
          </w:tcPr>
          <w:p w:rsidR="0035101E" w:rsidRPr="0035101E" w:rsidRDefault="00EB6549" w:rsidP="0035101E">
            <w:pPr>
              <w:jc w:val="center"/>
              <w:cnfStyle w:val="000000000000"/>
              <w:rPr>
                <w:sz w:val="24"/>
                <w:szCs w:val="24"/>
              </w:rPr>
            </w:pPr>
            <w:r>
              <w:rPr>
                <w:sz w:val="24"/>
                <w:szCs w:val="24"/>
              </w:rPr>
              <w:t>6808</w:t>
            </w:r>
          </w:p>
        </w:tc>
        <w:tc>
          <w:tcPr>
            <w:tcW w:w="1368" w:type="dxa"/>
          </w:tcPr>
          <w:p w:rsidR="0035101E" w:rsidRPr="0035101E" w:rsidRDefault="00EB6549" w:rsidP="0035101E">
            <w:pPr>
              <w:jc w:val="center"/>
              <w:cnfStyle w:val="000000000000"/>
              <w:rPr>
                <w:sz w:val="24"/>
                <w:szCs w:val="24"/>
              </w:rPr>
            </w:pPr>
            <w:r>
              <w:rPr>
                <w:sz w:val="24"/>
                <w:szCs w:val="24"/>
              </w:rPr>
              <w:t>7923</w:t>
            </w:r>
          </w:p>
        </w:tc>
        <w:tc>
          <w:tcPr>
            <w:tcW w:w="1368" w:type="dxa"/>
          </w:tcPr>
          <w:p w:rsidR="0035101E" w:rsidRPr="0035101E" w:rsidRDefault="00EB6549" w:rsidP="0035101E">
            <w:pPr>
              <w:jc w:val="center"/>
              <w:cnfStyle w:val="000000000000"/>
              <w:rPr>
                <w:sz w:val="24"/>
                <w:szCs w:val="24"/>
              </w:rPr>
            </w:pPr>
            <w:r>
              <w:rPr>
                <w:sz w:val="24"/>
                <w:szCs w:val="24"/>
              </w:rPr>
              <w:t>9319</w:t>
            </w:r>
          </w:p>
        </w:tc>
        <w:tc>
          <w:tcPr>
            <w:tcW w:w="1368" w:type="dxa"/>
          </w:tcPr>
          <w:p w:rsidR="0035101E" w:rsidRPr="0035101E" w:rsidRDefault="00EB6549" w:rsidP="0035101E">
            <w:pPr>
              <w:jc w:val="center"/>
              <w:cnfStyle w:val="000000000000"/>
              <w:rPr>
                <w:sz w:val="24"/>
                <w:szCs w:val="24"/>
              </w:rPr>
            </w:pPr>
            <w:r>
              <w:rPr>
                <w:sz w:val="24"/>
                <w:szCs w:val="24"/>
              </w:rPr>
              <w:t>10296</w:t>
            </w:r>
          </w:p>
        </w:tc>
      </w:tr>
      <w:tr w:rsidR="0035101E" w:rsidTr="001C1271">
        <w:trPr>
          <w:cnfStyle w:val="000000100000"/>
        </w:trPr>
        <w:tc>
          <w:tcPr>
            <w:cnfStyle w:val="001000000000"/>
            <w:tcW w:w="1368" w:type="dxa"/>
          </w:tcPr>
          <w:p w:rsidR="0035101E" w:rsidRPr="0035101E" w:rsidRDefault="0035101E">
            <w:pPr>
              <w:rPr>
                <w:b w:val="0"/>
                <w:sz w:val="24"/>
                <w:szCs w:val="24"/>
              </w:rPr>
            </w:pPr>
            <w:r w:rsidRPr="0035101E">
              <w:rPr>
                <w:b w:val="0"/>
                <w:sz w:val="24"/>
                <w:szCs w:val="24"/>
              </w:rPr>
              <w:t>Listing 22.7</w:t>
            </w:r>
          </w:p>
        </w:tc>
        <w:tc>
          <w:tcPr>
            <w:tcW w:w="1368" w:type="dxa"/>
          </w:tcPr>
          <w:p w:rsidR="0035101E" w:rsidRPr="0035101E" w:rsidRDefault="00EB6549" w:rsidP="0035101E">
            <w:pPr>
              <w:jc w:val="center"/>
              <w:cnfStyle w:val="000000100000"/>
              <w:rPr>
                <w:sz w:val="24"/>
                <w:szCs w:val="24"/>
              </w:rPr>
            </w:pPr>
            <w:r>
              <w:rPr>
                <w:sz w:val="24"/>
                <w:szCs w:val="24"/>
              </w:rPr>
              <w:t>5453</w:t>
            </w:r>
          </w:p>
        </w:tc>
        <w:tc>
          <w:tcPr>
            <w:tcW w:w="1368" w:type="dxa"/>
          </w:tcPr>
          <w:p w:rsidR="0035101E" w:rsidRPr="0035101E" w:rsidRDefault="00EB6549" w:rsidP="0035101E">
            <w:pPr>
              <w:jc w:val="center"/>
              <w:cnfStyle w:val="000000100000"/>
              <w:rPr>
                <w:sz w:val="24"/>
                <w:szCs w:val="24"/>
              </w:rPr>
            </w:pPr>
            <w:r>
              <w:rPr>
                <w:sz w:val="24"/>
                <w:szCs w:val="24"/>
              </w:rPr>
              <w:t>6630</w:t>
            </w:r>
          </w:p>
        </w:tc>
        <w:tc>
          <w:tcPr>
            <w:tcW w:w="1368" w:type="dxa"/>
          </w:tcPr>
          <w:p w:rsidR="0035101E" w:rsidRPr="0035101E" w:rsidRDefault="00EB6549" w:rsidP="0035101E">
            <w:pPr>
              <w:jc w:val="center"/>
              <w:cnfStyle w:val="000000100000"/>
              <w:rPr>
                <w:sz w:val="24"/>
                <w:szCs w:val="24"/>
              </w:rPr>
            </w:pPr>
            <w:r>
              <w:rPr>
                <w:sz w:val="24"/>
                <w:szCs w:val="24"/>
              </w:rPr>
              <w:t>7663</w:t>
            </w:r>
          </w:p>
        </w:tc>
        <w:tc>
          <w:tcPr>
            <w:tcW w:w="1368" w:type="dxa"/>
          </w:tcPr>
          <w:p w:rsidR="0035101E" w:rsidRPr="0035101E" w:rsidRDefault="00EB6549" w:rsidP="0035101E">
            <w:pPr>
              <w:jc w:val="center"/>
              <w:cnfStyle w:val="000000100000"/>
              <w:rPr>
                <w:sz w:val="24"/>
                <w:szCs w:val="24"/>
              </w:rPr>
            </w:pPr>
            <w:r>
              <w:rPr>
                <w:sz w:val="24"/>
                <w:szCs w:val="24"/>
              </w:rPr>
              <w:t>8807</w:t>
            </w:r>
          </w:p>
        </w:tc>
        <w:tc>
          <w:tcPr>
            <w:tcW w:w="1368" w:type="dxa"/>
          </w:tcPr>
          <w:p w:rsidR="0035101E" w:rsidRPr="0035101E" w:rsidRDefault="00EB6549" w:rsidP="0035101E">
            <w:pPr>
              <w:jc w:val="center"/>
              <w:cnfStyle w:val="000000100000"/>
              <w:rPr>
                <w:sz w:val="24"/>
                <w:szCs w:val="24"/>
              </w:rPr>
            </w:pPr>
            <w:r>
              <w:rPr>
                <w:sz w:val="24"/>
                <w:szCs w:val="24"/>
              </w:rPr>
              <w:t>9989</w:t>
            </w:r>
          </w:p>
        </w:tc>
        <w:tc>
          <w:tcPr>
            <w:tcW w:w="1368" w:type="dxa"/>
          </w:tcPr>
          <w:p w:rsidR="0035101E" w:rsidRPr="0035101E" w:rsidRDefault="00EB6549" w:rsidP="0035101E">
            <w:pPr>
              <w:jc w:val="center"/>
              <w:cnfStyle w:val="000000100000"/>
              <w:rPr>
                <w:sz w:val="24"/>
                <w:szCs w:val="24"/>
              </w:rPr>
            </w:pPr>
            <w:r>
              <w:rPr>
                <w:sz w:val="24"/>
                <w:szCs w:val="24"/>
              </w:rPr>
              <w:t>11161</w:t>
            </w:r>
          </w:p>
        </w:tc>
      </w:tr>
    </w:tbl>
    <w:p w:rsidR="0035101E" w:rsidRDefault="00B35A17">
      <w:r>
        <w:rPr>
          <w:noProof/>
        </w:rPr>
        <w:drawing>
          <wp:inline distT="0" distB="0" distL="0" distR="0">
            <wp:extent cx="4989195" cy="1153795"/>
            <wp:effectExtent l="19050" t="0" r="190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89195" cy="1153795"/>
                    </a:xfrm>
                    <a:prstGeom prst="rect">
                      <a:avLst/>
                    </a:prstGeom>
                    <a:noFill/>
                    <a:ln w="9525">
                      <a:noFill/>
                      <a:miter lim="800000"/>
                      <a:headEnd/>
                      <a:tailEnd/>
                    </a:ln>
                  </pic:spPr>
                </pic:pic>
              </a:graphicData>
            </a:graphic>
          </wp:inline>
        </w:drawing>
      </w:r>
    </w:p>
    <w:p w:rsidR="001C1271" w:rsidRDefault="001C1271"/>
    <w:tbl>
      <w:tblPr>
        <w:tblStyle w:val="MediumGrid3-Accent2"/>
        <w:tblW w:w="0" w:type="auto"/>
        <w:tblLook w:val="04A0"/>
      </w:tblPr>
      <w:tblGrid>
        <w:gridCol w:w="1368"/>
        <w:gridCol w:w="1368"/>
        <w:gridCol w:w="1368"/>
        <w:gridCol w:w="1368"/>
        <w:gridCol w:w="1368"/>
        <w:gridCol w:w="1368"/>
        <w:gridCol w:w="1368"/>
      </w:tblGrid>
      <w:tr w:rsidR="001C1271" w:rsidTr="001C1271">
        <w:trPr>
          <w:cnfStyle w:val="100000000000"/>
        </w:trPr>
        <w:tc>
          <w:tcPr>
            <w:cnfStyle w:val="001000000000"/>
            <w:tcW w:w="9576" w:type="dxa"/>
            <w:gridSpan w:val="7"/>
          </w:tcPr>
          <w:p w:rsidR="001C1271" w:rsidRPr="001C1271" w:rsidRDefault="001C1271" w:rsidP="00731DAF">
            <w:pPr>
              <w:rPr>
                <w:sz w:val="32"/>
                <w:szCs w:val="32"/>
              </w:rPr>
            </w:pPr>
            <w:r w:rsidRPr="001C1271">
              <w:rPr>
                <w:sz w:val="32"/>
                <w:szCs w:val="32"/>
              </w:rPr>
              <w:t>Execution Time (in milliseconds) Without Output</w:t>
            </w:r>
          </w:p>
        </w:tc>
      </w:tr>
      <w:tr w:rsidR="001C1271" w:rsidTr="001C1271">
        <w:trPr>
          <w:cnfStyle w:val="000000100000"/>
        </w:trPr>
        <w:tc>
          <w:tcPr>
            <w:cnfStyle w:val="001000000000"/>
            <w:tcW w:w="1368" w:type="dxa"/>
          </w:tcPr>
          <w:p w:rsidR="001C1271" w:rsidRPr="0035101E" w:rsidRDefault="001C1271" w:rsidP="00731DAF">
            <w:pPr>
              <w:rPr>
                <w:b w:val="0"/>
                <w:sz w:val="24"/>
                <w:szCs w:val="24"/>
              </w:rPr>
            </w:pPr>
            <w:r w:rsidRPr="0035101E">
              <w:rPr>
                <w:b w:val="0"/>
                <w:sz w:val="24"/>
                <w:szCs w:val="24"/>
              </w:rPr>
              <w:t>Max Value:</w:t>
            </w:r>
          </w:p>
        </w:tc>
        <w:tc>
          <w:tcPr>
            <w:tcW w:w="1368" w:type="dxa"/>
          </w:tcPr>
          <w:p w:rsidR="001C1271" w:rsidRPr="0035101E" w:rsidRDefault="001C1271" w:rsidP="00731DAF">
            <w:pPr>
              <w:jc w:val="center"/>
              <w:cnfStyle w:val="000000100000"/>
              <w:rPr>
                <w:b/>
                <w:sz w:val="24"/>
                <w:szCs w:val="24"/>
              </w:rPr>
            </w:pPr>
            <w:r w:rsidRPr="0035101E">
              <w:rPr>
                <w:b/>
                <w:sz w:val="24"/>
                <w:szCs w:val="24"/>
              </w:rPr>
              <w:t>8,000,000</w:t>
            </w:r>
          </w:p>
        </w:tc>
        <w:tc>
          <w:tcPr>
            <w:tcW w:w="1368" w:type="dxa"/>
          </w:tcPr>
          <w:p w:rsidR="001C1271" w:rsidRPr="0035101E" w:rsidRDefault="001C1271" w:rsidP="00731DAF">
            <w:pPr>
              <w:jc w:val="center"/>
              <w:cnfStyle w:val="000000100000"/>
              <w:rPr>
                <w:b/>
                <w:sz w:val="24"/>
                <w:szCs w:val="24"/>
              </w:rPr>
            </w:pPr>
            <w:r w:rsidRPr="0035101E">
              <w:rPr>
                <w:b/>
                <w:sz w:val="24"/>
                <w:szCs w:val="24"/>
              </w:rPr>
              <w:t>10,000,000</w:t>
            </w:r>
          </w:p>
        </w:tc>
        <w:tc>
          <w:tcPr>
            <w:tcW w:w="1368" w:type="dxa"/>
          </w:tcPr>
          <w:p w:rsidR="001C1271" w:rsidRPr="0035101E" w:rsidRDefault="001C1271" w:rsidP="00731DAF">
            <w:pPr>
              <w:jc w:val="center"/>
              <w:cnfStyle w:val="000000100000"/>
              <w:rPr>
                <w:b/>
                <w:sz w:val="24"/>
                <w:szCs w:val="24"/>
              </w:rPr>
            </w:pPr>
            <w:r w:rsidRPr="0035101E">
              <w:rPr>
                <w:b/>
                <w:sz w:val="24"/>
                <w:szCs w:val="24"/>
              </w:rPr>
              <w:t>12,000,000</w:t>
            </w:r>
          </w:p>
        </w:tc>
        <w:tc>
          <w:tcPr>
            <w:tcW w:w="1368" w:type="dxa"/>
          </w:tcPr>
          <w:p w:rsidR="001C1271" w:rsidRPr="0035101E" w:rsidRDefault="001C1271" w:rsidP="00731DAF">
            <w:pPr>
              <w:jc w:val="center"/>
              <w:cnfStyle w:val="000000100000"/>
              <w:rPr>
                <w:b/>
                <w:sz w:val="24"/>
                <w:szCs w:val="24"/>
              </w:rPr>
            </w:pPr>
            <w:r w:rsidRPr="0035101E">
              <w:rPr>
                <w:b/>
                <w:sz w:val="24"/>
                <w:szCs w:val="24"/>
              </w:rPr>
              <w:t>14,000,000</w:t>
            </w:r>
          </w:p>
        </w:tc>
        <w:tc>
          <w:tcPr>
            <w:tcW w:w="1368" w:type="dxa"/>
          </w:tcPr>
          <w:p w:rsidR="001C1271" w:rsidRPr="0035101E" w:rsidRDefault="001C1271" w:rsidP="00731DAF">
            <w:pPr>
              <w:jc w:val="center"/>
              <w:cnfStyle w:val="000000100000"/>
              <w:rPr>
                <w:b/>
                <w:sz w:val="24"/>
                <w:szCs w:val="24"/>
              </w:rPr>
            </w:pPr>
            <w:r w:rsidRPr="0035101E">
              <w:rPr>
                <w:b/>
                <w:sz w:val="24"/>
                <w:szCs w:val="24"/>
              </w:rPr>
              <w:t>16,000,000</w:t>
            </w:r>
          </w:p>
        </w:tc>
        <w:tc>
          <w:tcPr>
            <w:tcW w:w="1368" w:type="dxa"/>
          </w:tcPr>
          <w:p w:rsidR="001C1271" w:rsidRPr="0035101E" w:rsidRDefault="001C1271" w:rsidP="00731DAF">
            <w:pPr>
              <w:jc w:val="center"/>
              <w:cnfStyle w:val="000000100000"/>
              <w:rPr>
                <w:b/>
                <w:sz w:val="24"/>
                <w:szCs w:val="24"/>
              </w:rPr>
            </w:pPr>
            <w:r w:rsidRPr="0035101E">
              <w:rPr>
                <w:b/>
                <w:sz w:val="24"/>
                <w:szCs w:val="24"/>
              </w:rPr>
              <w:t>18,000,000</w:t>
            </w:r>
          </w:p>
        </w:tc>
      </w:tr>
      <w:tr w:rsidR="001C1271" w:rsidTr="001C1271">
        <w:tc>
          <w:tcPr>
            <w:cnfStyle w:val="001000000000"/>
            <w:tcW w:w="1368" w:type="dxa"/>
          </w:tcPr>
          <w:p w:rsidR="001C1271" w:rsidRPr="0035101E" w:rsidRDefault="001C1271" w:rsidP="00731DAF">
            <w:pPr>
              <w:rPr>
                <w:b w:val="0"/>
                <w:sz w:val="24"/>
                <w:szCs w:val="24"/>
              </w:rPr>
            </w:pPr>
            <w:r w:rsidRPr="0035101E">
              <w:rPr>
                <w:b w:val="0"/>
                <w:sz w:val="24"/>
                <w:szCs w:val="24"/>
              </w:rPr>
              <w:t>Algorithms</w:t>
            </w:r>
          </w:p>
        </w:tc>
        <w:tc>
          <w:tcPr>
            <w:tcW w:w="1368" w:type="dxa"/>
          </w:tcPr>
          <w:p w:rsidR="001C1271" w:rsidRPr="0035101E" w:rsidRDefault="001C1271" w:rsidP="00731DAF">
            <w:pPr>
              <w:jc w:val="center"/>
              <w:cnfStyle w:val="000000000000"/>
              <w:rPr>
                <w:sz w:val="24"/>
                <w:szCs w:val="24"/>
              </w:rPr>
            </w:pPr>
          </w:p>
        </w:tc>
        <w:tc>
          <w:tcPr>
            <w:tcW w:w="1368" w:type="dxa"/>
          </w:tcPr>
          <w:p w:rsidR="001C1271" w:rsidRPr="0035101E" w:rsidRDefault="001C1271" w:rsidP="00731DAF">
            <w:pPr>
              <w:jc w:val="center"/>
              <w:cnfStyle w:val="000000000000"/>
              <w:rPr>
                <w:sz w:val="24"/>
                <w:szCs w:val="24"/>
              </w:rPr>
            </w:pPr>
          </w:p>
        </w:tc>
        <w:tc>
          <w:tcPr>
            <w:tcW w:w="1368" w:type="dxa"/>
          </w:tcPr>
          <w:p w:rsidR="001C1271" w:rsidRPr="0035101E" w:rsidRDefault="001C1271" w:rsidP="00731DAF">
            <w:pPr>
              <w:jc w:val="center"/>
              <w:cnfStyle w:val="000000000000"/>
              <w:rPr>
                <w:sz w:val="24"/>
                <w:szCs w:val="24"/>
              </w:rPr>
            </w:pPr>
          </w:p>
        </w:tc>
        <w:tc>
          <w:tcPr>
            <w:tcW w:w="1368" w:type="dxa"/>
          </w:tcPr>
          <w:p w:rsidR="001C1271" w:rsidRPr="0035101E" w:rsidRDefault="001C1271" w:rsidP="00731DAF">
            <w:pPr>
              <w:jc w:val="center"/>
              <w:cnfStyle w:val="000000000000"/>
              <w:rPr>
                <w:sz w:val="24"/>
                <w:szCs w:val="24"/>
              </w:rPr>
            </w:pPr>
          </w:p>
        </w:tc>
        <w:tc>
          <w:tcPr>
            <w:tcW w:w="1368" w:type="dxa"/>
          </w:tcPr>
          <w:p w:rsidR="001C1271" w:rsidRPr="0035101E" w:rsidRDefault="001C1271" w:rsidP="00731DAF">
            <w:pPr>
              <w:jc w:val="center"/>
              <w:cnfStyle w:val="000000000000"/>
              <w:rPr>
                <w:sz w:val="24"/>
                <w:szCs w:val="24"/>
              </w:rPr>
            </w:pPr>
          </w:p>
        </w:tc>
        <w:tc>
          <w:tcPr>
            <w:tcW w:w="1368" w:type="dxa"/>
          </w:tcPr>
          <w:p w:rsidR="001C1271" w:rsidRPr="0035101E" w:rsidRDefault="001C1271" w:rsidP="00731DAF">
            <w:pPr>
              <w:jc w:val="center"/>
              <w:cnfStyle w:val="000000000000"/>
              <w:rPr>
                <w:sz w:val="24"/>
                <w:szCs w:val="24"/>
              </w:rPr>
            </w:pPr>
          </w:p>
        </w:tc>
      </w:tr>
      <w:tr w:rsidR="001C1271" w:rsidTr="001C1271">
        <w:trPr>
          <w:cnfStyle w:val="000000100000"/>
        </w:trPr>
        <w:tc>
          <w:tcPr>
            <w:cnfStyle w:val="001000000000"/>
            <w:tcW w:w="1368" w:type="dxa"/>
          </w:tcPr>
          <w:p w:rsidR="001C1271" w:rsidRPr="0035101E" w:rsidRDefault="001C1271" w:rsidP="00731DAF">
            <w:pPr>
              <w:rPr>
                <w:b w:val="0"/>
                <w:sz w:val="24"/>
                <w:szCs w:val="24"/>
              </w:rPr>
            </w:pPr>
            <w:r w:rsidRPr="0035101E">
              <w:rPr>
                <w:b w:val="0"/>
                <w:sz w:val="24"/>
                <w:szCs w:val="24"/>
              </w:rPr>
              <w:t>Listing 22.5</w:t>
            </w:r>
          </w:p>
        </w:tc>
        <w:tc>
          <w:tcPr>
            <w:tcW w:w="1368" w:type="dxa"/>
          </w:tcPr>
          <w:p w:rsidR="001C1271" w:rsidRPr="0035101E" w:rsidRDefault="001C1271" w:rsidP="00731DAF">
            <w:pPr>
              <w:jc w:val="center"/>
              <w:cnfStyle w:val="000000100000"/>
              <w:rPr>
                <w:sz w:val="24"/>
                <w:szCs w:val="24"/>
              </w:rPr>
            </w:pPr>
            <w:r>
              <w:rPr>
                <w:sz w:val="24"/>
                <w:szCs w:val="24"/>
              </w:rPr>
              <w:t>4355</w:t>
            </w:r>
          </w:p>
        </w:tc>
        <w:tc>
          <w:tcPr>
            <w:tcW w:w="1368" w:type="dxa"/>
          </w:tcPr>
          <w:p w:rsidR="001C1271" w:rsidRPr="0035101E" w:rsidRDefault="001C1271" w:rsidP="00731DAF">
            <w:pPr>
              <w:jc w:val="center"/>
              <w:cnfStyle w:val="000000100000"/>
              <w:rPr>
                <w:sz w:val="24"/>
                <w:szCs w:val="24"/>
              </w:rPr>
            </w:pPr>
            <w:r>
              <w:rPr>
                <w:sz w:val="24"/>
                <w:szCs w:val="24"/>
              </w:rPr>
              <w:t>6049</w:t>
            </w:r>
          </w:p>
        </w:tc>
        <w:tc>
          <w:tcPr>
            <w:tcW w:w="1368" w:type="dxa"/>
          </w:tcPr>
          <w:p w:rsidR="001C1271" w:rsidRPr="0035101E" w:rsidRDefault="001C1271" w:rsidP="00731DAF">
            <w:pPr>
              <w:jc w:val="center"/>
              <w:cnfStyle w:val="000000100000"/>
              <w:rPr>
                <w:sz w:val="24"/>
                <w:szCs w:val="24"/>
              </w:rPr>
            </w:pPr>
            <w:r>
              <w:rPr>
                <w:sz w:val="24"/>
                <w:szCs w:val="24"/>
              </w:rPr>
              <w:t>6153</w:t>
            </w:r>
          </w:p>
        </w:tc>
        <w:tc>
          <w:tcPr>
            <w:tcW w:w="1368" w:type="dxa"/>
          </w:tcPr>
          <w:p w:rsidR="001C1271" w:rsidRPr="0035101E" w:rsidRDefault="001C1271" w:rsidP="00731DAF">
            <w:pPr>
              <w:jc w:val="center"/>
              <w:cnfStyle w:val="000000100000"/>
              <w:rPr>
                <w:sz w:val="24"/>
                <w:szCs w:val="24"/>
              </w:rPr>
            </w:pPr>
            <w:r>
              <w:rPr>
                <w:sz w:val="24"/>
                <w:szCs w:val="24"/>
              </w:rPr>
              <w:t>7670</w:t>
            </w:r>
          </w:p>
        </w:tc>
        <w:tc>
          <w:tcPr>
            <w:tcW w:w="1368" w:type="dxa"/>
          </w:tcPr>
          <w:p w:rsidR="001C1271" w:rsidRPr="0035101E" w:rsidRDefault="001C1271" w:rsidP="00731DAF">
            <w:pPr>
              <w:jc w:val="center"/>
              <w:cnfStyle w:val="000000100000"/>
              <w:rPr>
                <w:sz w:val="24"/>
                <w:szCs w:val="24"/>
              </w:rPr>
            </w:pPr>
            <w:r>
              <w:rPr>
                <w:sz w:val="24"/>
                <w:szCs w:val="24"/>
              </w:rPr>
              <w:t>9233</w:t>
            </w:r>
          </w:p>
        </w:tc>
        <w:tc>
          <w:tcPr>
            <w:tcW w:w="1368" w:type="dxa"/>
          </w:tcPr>
          <w:p w:rsidR="001C1271" w:rsidRPr="0035101E" w:rsidRDefault="001C1271" w:rsidP="00731DAF">
            <w:pPr>
              <w:jc w:val="center"/>
              <w:cnfStyle w:val="000000100000"/>
              <w:rPr>
                <w:sz w:val="24"/>
                <w:szCs w:val="24"/>
              </w:rPr>
            </w:pPr>
            <w:r>
              <w:rPr>
                <w:sz w:val="24"/>
                <w:szCs w:val="24"/>
              </w:rPr>
              <w:t>10986</w:t>
            </w:r>
          </w:p>
        </w:tc>
      </w:tr>
      <w:tr w:rsidR="001C1271" w:rsidTr="001C1271">
        <w:tc>
          <w:tcPr>
            <w:cnfStyle w:val="001000000000"/>
            <w:tcW w:w="1368" w:type="dxa"/>
          </w:tcPr>
          <w:p w:rsidR="001C1271" w:rsidRPr="0035101E" w:rsidRDefault="001C1271" w:rsidP="00731DAF">
            <w:pPr>
              <w:rPr>
                <w:b w:val="0"/>
                <w:sz w:val="24"/>
                <w:szCs w:val="24"/>
              </w:rPr>
            </w:pPr>
            <w:r w:rsidRPr="0035101E">
              <w:rPr>
                <w:b w:val="0"/>
                <w:sz w:val="24"/>
                <w:szCs w:val="24"/>
              </w:rPr>
              <w:t>Listing 22.6</w:t>
            </w:r>
          </w:p>
        </w:tc>
        <w:tc>
          <w:tcPr>
            <w:tcW w:w="1368" w:type="dxa"/>
          </w:tcPr>
          <w:p w:rsidR="001C1271" w:rsidRPr="0035101E" w:rsidRDefault="001C1271" w:rsidP="00731DAF">
            <w:pPr>
              <w:jc w:val="center"/>
              <w:cnfStyle w:val="000000000000"/>
              <w:rPr>
                <w:sz w:val="24"/>
                <w:szCs w:val="24"/>
              </w:rPr>
            </w:pPr>
            <w:r>
              <w:rPr>
                <w:sz w:val="24"/>
                <w:szCs w:val="24"/>
              </w:rPr>
              <w:t>837</w:t>
            </w:r>
          </w:p>
        </w:tc>
        <w:tc>
          <w:tcPr>
            <w:tcW w:w="1368" w:type="dxa"/>
          </w:tcPr>
          <w:p w:rsidR="001C1271" w:rsidRPr="0035101E" w:rsidRDefault="001C1271" w:rsidP="00731DAF">
            <w:pPr>
              <w:jc w:val="center"/>
              <w:cnfStyle w:val="000000000000"/>
              <w:rPr>
                <w:sz w:val="24"/>
                <w:szCs w:val="24"/>
              </w:rPr>
            </w:pPr>
            <w:r>
              <w:rPr>
                <w:sz w:val="24"/>
                <w:szCs w:val="24"/>
              </w:rPr>
              <w:t>1073</w:t>
            </w:r>
          </w:p>
        </w:tc>
        <w:tc>
          <w:tcPr>
            <w:tcW w:w="1368" w:type="dxa"/>
          </w:tcPr>
          <w:p w:rsidR="001C1271" w:rsidRPr="0035101E" w:rsidRDefault="001C1271" w:rsidP="00731DAF">
            <w:pPr>
              <w:jc w:val="center"/>
              <w:cnfStyle w:val="000000000000"/>
              <w:rPr>
                <w:sz w:val="24"/>
                <w:szCs w:val="24"/>
              </w:rPr>
            </w:pPr>
            <w:r>
              <w:rPr>
                <w:sz w:val="24"/>
                <w:szCs w:val="24"/>
              </w:rPr>
              <w:t>1292</w:t>
            </w:r>
          </w:p>
        </w:tc>
        <w:tc>
          <w:tcPr>
            <w:tcW w:w="1368" w:type="dxa"/>
          </w:tcPr>
          <w:p w:rsidR="001C1271" w:rsidRPr="0035101E" w:rsidRDefault="001C1271" w:rsidP="00731DAF">
            <w:pPr>
              <w:jc w:val="center"/>
              <w:cnfStyle w:val="000000000000"/>
              <w:rPr>
                <w:sz w:val="24"/>
                <w:szCs w:val="24"/>
              </w:rPr>
            </w:pPr>
            <w:r>
              <w:rPr>
                <w:sz w:val="24"/>
                <w:szCs w:val="24"/>
              </w:rPr>
              <w:t>1714</w:t>
            </w:r>
          </w:p>
        </w:tc>
        <w:tc>
          <w:tcPr>
            <w:tcW w:w="1368" w:type="dxa"/>
          </w:tcPr>
          <w:p w:rsidR="001C1271" w:rsidRPr="0035101E" w:rsidRDefault="001C1271" w:rsidP="00731DAF">
            <w:pPr>
              <w:jc w:val="center"/>
              <w:cnfStyle w:val="000000000000"/>
              <w:rPr>
                <w:sz w:val="24"/>
                <w:szCs w:val="24"/>
              </w:rPr>
            </w:pPr>
            <w:r>
              <w:rPr>
                <w:sz w:val="24"/>
                <w:szCs w:val="24"/>
              </w:rPr>
              <w:t>2027</w:t>
            </w:r>
          </w:p>
        </w:tc>
        <w:tc>
          <w:tcPr>
            <w:tcW w:w="1368" w:type="dxa"/>
          </w:tcPr>
          <w:p w:rsidR="001C1271" w:rsidRPr="0035101E" w:rsidRDefault="001C1271" w:rsidP="00731DAF">
            <w:pPr>
              <w:jc w:val="center"/>
              <w:cnfStyle w:val="000000000000"/>
              <w:rPr>
                <w:sz w:val="24"/>
                <w:szCs w:val="24"/>
              </w:rPr>
            </w:pPr>
            <w:r>
              <w:rPr>
                <w:sz w:val="24"/>
                <w:szCs w:val="24"/>
              </w:rPr>
              <w:t>2349</w:t>
            </w:r>
          </w:p>
        </w:tc>
      </w:tr>
      <w:tr w:rsidR="001C1271" w:rsidTr="001C1271">
        <w:trPr>
          <w:cnfStyle w:val="000000100000"/>
        </w:trPr>
        <w:tc>
          <w:tcPr>
            <w:cnfStyle w:val="001000000000"/>
            <w:tcW w:w="1368" w:type="dxa"/>
          </w:tcPr>
          <w:p w:rsidR="001C1271" w:rsidRPr="0035101E" w:rsidRDefault="001C1271" w:rsidP="00731DAF">
            <w:pPr>
              <w:rPr>
                <w:b w:val="0"/>
                <w:sz w:val="24"/>
                <w:szCs w:val="24"/>
              </w:rPr>
            </w:pPr>
            <w:r w:rsidRPr="0035101E">
              <w:rPr>
                <w:b w:val="0"/>
                <w:sz w:val="24"/>
                <w:szCs w:val="24"/>
              </w:rPr>
              <w:t>Listing 22.7</w:t>
            </w:r>
          </w:p>
        </w:tc>
        <w:tc>
          <w:tcPr>
            <w:tcW w:w="1368" w:type="dxa"/>
          </w:tcPr>
          <w:p w:rsidR="001C1271" w:rsidRPr="0035101E" w:rsidRDefault="001C1271" w:rsidP="00731DAF">
            <w:pPr>
              <w:jc w:val="center"/>
              <w:cnfStyle w:val="000000100000"/>
              <w:rPr>
                <w:sz w:val="24"/>
                <w:szCs w:val="24"/>
              </w:rPr>
            </w:pPr>
            <w:r>
              <w:rPr>
                <w:sz w:val="24"/>
                <w:szCs w:val="24"/>
              </w:rPr>
              <w:t>112</w:t>
            </w:r>
          </w:p>
        </w:tc>
        <w:tc>
          <w:tcPr>
            <w:tcW w:w="1368" w:type="dxa"/>
          </w:tcPr>
          <w:p w:rsidR="001C1271" w:rsidRPr="0035101E" w:rsidRDefault="001C1271" w:rsidP="00731DAF">
            <w:pPr>
              <w:jc w:val="center"/>
              <w:cnfStyle w:val="000000100000"/>
              <w:rPr>
                <w:sz w:val="24"/>
                <w:szCs w:val="24"/>
              </w:rPr>
            </w:pPr>
            <w:r>
              <w:rPr>
                <w:sz w:val="24"/>
                <w:szCs w:val="24"/>
              </w:rPr>
              <w:t>136</w:t>
            </w:r>
          </w:p>
        </w:tc>
        <w:tc>
          <w:tcPr>
            <w:tcW w:w="1368" w:type="dxa"/>
          </w:tcPr>
          <w:p w:rsidR="001C1271" w:rsidRPr="0035101E" w:rsidRDefault="001C1271" w:rsidP="00731DAF">
            <w:pPr>
              <w:jc w:val="center"/>
              <w:cnfStyle w:val="000000100000"/>
              <w:rPr>
                <w:sz w:val="24"/>
                <w:szCs w:val="24"/>
              </w:rPr>
            </w:pPr>
            <w:r>
              <w:rPr>
                <w:sz w:val="24"/>
                <w:szCs w:val="24"/>
              </w:rPr>
              <w:t>170</w:t>
            </w:r>
          </w:p>
        </w:tc>
        <w:tc>
          <w:tcPr>
            <w:tcW w:w="1368" w:type="dxa"/>
          </w:tcPr>
          <w:p w:rsidR="001C1271" w:rsidRPr="0035101E" w:rsidRDefault="001C1271" w:rsidP="00731DAF">
            <w:pPr>
              <w:jc w:val="center"/>
              <w:cnfStyle w:val="000000100000"/>
              <w:rPr>
                <w:sz w:val="24"/>
                <w:szCs w:val="24"/>
              </w:rPr>
            </w:pPr>
            <w:r>
              <w:rPr>
                <w:sz w:val="24"/>
                <w:szCs w:val="24"/>
              </w:rPr>
              <w:t>197</w:t>
            </w:r>
          </w:p>
        </w:tc>
        <w:tc>
          <w:tcPr>
            <w:tcW w:w="1368" w:type="dxa"/>
          </w:tcPr>
          <w:p w:rsidR="001C1271" w:rsidRPr="0035101E" w:rsidRDefault="001C1271" w:rsidP="00731DAF">
            <w:pPr>
              <w:jc w:val="center"/>
              <w:cnfStyle w:val="000000100000"/>
              <w:rPr>
                <w:sz w:val="24"/>
                <w:szCs w:val="24"/>
              </w:rPr>
            </w:pPr>
            <w:r>
              <w:rPr>
                <w:sz w:val="24"/>
                <w:szCs w:val="24"/>
              </w:rPr>
              <w:t>237</w:t>
            </w:r>
          </w:p>
        </w:tc>
        <w:tc>
          <w:tcPr>
            <w:tcW w:w="1368" w:type="dxa"/>
          </w:tcPr>
          <w:p w:rsidR="001C1271" w:rsidRPr="0035101E" w:rsidRDefault="001C1271" w:rsidP="00731DAF">
            <w:pPr>
              <w:jc w:val="center"/>
              <w:cnfStyle w:val="000000100000"/>
              <w:rPr>
                <w:sz w:val="24"/>
                <w:szCs w:val="24"/>
              </w:rPr>
            </w:pPr>
            <w:r>
              <w:rPr>
                <w:sz w:val="24"/>
                <w:szCs w:val="24"/>
              </w:rPr>
              <w:t>267</w:t>
            </w:r>
          </w:p>
        </w:tc>
      </w:tr>
    </w:tbl>
    <w:p w:rsidR="00E95601" w:rsidRDefault="001C1271">
      <w:r>
        <w:rPr>
          <w:noProof/>
        </w:rPr>
        <w:drawing>
          <wp:inline distT="0" distB="0" distL="0" distR="0">
            <wp:extent cx="4687570" cy="124269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87570" cy="1242695"/>
                    </a:xfrm>
                    <a:prstGeom prst="rect">
                      <a:avLst/>
                    </a:prstGeom>
                    <a:noFill/>
                    <a:ln w="9525">
                      <a:noFill/>
                      <a:miter lim="800000"/>
                      <a:headEnd/>
                      <a:tailEnd/>
                    </a:ln>
                  </pic:spPr>
                </pic:pic>
              </a:graphicData>
            </a:graphic>
          </wp:inline>
        </w:drawing>
      </w:r>
    </w:p>
    <w:p w:rsidR="001C1271" w:rsidRDefault="00E95601">
      <w:r>
        <w:rPr>
          <w:noProof/>
        </w:rPr>
        <w:lastRenderedPageBreak/>
        <w:drawing>
          <wp:inline distT="0" distB="0" distL="0" distR="0">
            <wp:extent cx="6006971" cy="5424256"/>
            <wp:effectExtent l="19050" t="0" r="12829" b="4994"/>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95601" w:rsidRDefault="00E95601"/>
    <w:p w:rsidR="00E95601" w:rsidRDefault="00E95601" w:rsidP="00E95601">
      <w:pPr>
        <w:pStyle w:val="Heading1"/>
      </w:pPr>
      <w:r>
        <w:t>Analysis</w:t>
      </w:r>
    </w:p>
    <w:p w:rsidR="00E95601" w:rsidRDefault="00E95601" w:rsidP="00E95601"/>
    <w:p w:rsidR="00731DAF" w:rsidRDefault="00E95601" w:rsidP="00E95601">
      <w:r>
        <w:t xml:space="preserve">When </w:t>
      </w:r>
      <w:r w:rsidR="00731DAF">
        <w:t>comparing algorithms with respect to execution time and growth rates, the time complexity can be best compared using Big-O notation.  W</w:t>
      </w:r>
      <w:r w:rsidR="00B220DC">
        <w:t>h</w:t>
      </w:r>
      <w:r w:rsidR="00731DAF">
        <w:t>e</w:t>
      </w:r>
      <w:r w:rsidR="00B220DC">
        <w:t>n</w:t>
      </w:r>
      <w:r w:rsidR="00731DAF">
        <w:t xml:space="preserve"> examining time complexity, for simplicity, we can ignore the instructions executed with constant time.  </w:t>
      </w:r>
    </w:p>
    <w:p w:rsidR="00E95601" w:rsidRDefault="00731DAF" w:rsidP="00E95601">
      <w:pPr>
        <w:rPr>
          <w:rFonts w:eastAsiaTheme="minorEastAsia"/>
        </w:rPr>
      </w:pPr>
      <w:r>
        <w:t xml:space="preserve">With this in mind, when looking at the code for finding primes using Listing 22.5, the most important lines are the while-loop which executes with a time complexity of </w:t>
      </w:r>
      <w:proofErr w:type="gramStart"/>
      <w:r>
        <w:t>O(</w:t>
      </w:r>
      <w:proofErr w:type="gramEnd"/>
      <w:r>
        <w:t>n) and a nested for-loop which executes with a time complexity of O</w:t>
      </w:r>
      <m:oMath>
        <m:r>
          <w:rPr>
            <w:rFonts w:ascii="Cambria Math" w:hAnsi="Cambria Math"/>
          </w:rPr>
          <m:t>(</m:t>
        </m:r>
        <m:rad>
          <m:radPr>
            <m:degHide m:val="on"/>
            <m:ctrlPr>
              <w:rPr>
                <w:rFonts w:ascii="Cambria Math" w:hAnsi="Cambria Math"/>
                <w:i/>
              </w:rPr>
            </m:ctrlPr>
          </m:radPr>
          <m:deg/>
          <m:e>
            <m:r>
              <w:rPr>
                <w:rFonts w:ascii="Cambria Math" w:hAnsi="Cambria Math"/>
              </w:rPr>
              <m:t>n</m:t>
            </m:r>
          </m:e>
        </m:rad>
        <m:r>
          <w:rPr>
            <w:rFonts w:ascii="Cambria Math" w:hAnsi="Cambria Math"/>
          </w:rPr>
          <m:t>)</m:t>
        </m:r>
      </m:oMath>
      <w:r>
        <w:rPr>
          <w:rFonts w:eastAsiaTheme="minorEastAsia"/>
        </w:rPr>
        <w:t xml:space="preserve">.  Because this loop is nested, the resulting time complexity </w:t>
      </w:r>
      <w:r>
        <w:rPr>
          <w:rFonts w:eastAsiaTheme="minorEastAsia"/>
        </w:rPr>
        <w:lastRenderedPageBreak/>
        <w:t xml:space="preserve">for the entire routine is </w:t>
      </w:r>
      <w:r>
        <w:t>O</w:t>
      </w:r>
      <m:oMath>
        <m:r>
          <w:rPr>
            <w:rFonts w:ascii="Cambria Math" w:hAnsi="Cambria Math"/>
          </w:rPr>
          <m:t>(n</m:t>
        </m:r>
        <m:rad>
          <m:radPr>
            <m:degHide m:val="on"/>
            <m:ctrlPr>
              <w:rPr>
                <w:rFonts w:ascii="Cambria Math" w:hAnsi="Cambria Math"/>
                <w:i/>
              </w:rPr>
            </m:ctrlPr>
          </m:radPr>
          <m:deg/>
          <m:e>
            <m:r>
              <w:rPr>
                <w:rFonts w:ascii="Cambria Math" w:hAnsi="Cambria Math"/>
              </w:rPr>
              <m:t>n</m:t>
            </m:r>
          </m:e>
        </m:rad>
        <m:r>
          <w:rPr>
            <w:rFonts w:ascii="Cambria Math" w:hAnsi="Cambria Math"/>
          </w:rPr>
          <m:t>)</m:t>
        </m:r>
      </m:oMath>
      <w:r>
        <w:rPr>
          <w:rFonts w:eastAsiaTheme="minorEastAsia"/>
        </w:rPr>
        <w:t>.  This explains why Listing 22.5 has such a large growth rate and, if</w:t>
      </w:r>
      <w:r w:rsidR="00B220DC">
        <w:rPr>
          <w:rFonts w:eastAsiaTheme="minorEastAsia"/>
        </w:rPr>
        <w:t xml:space="preserve"> regression methods are used, </w:t>
      </w:r>
      <w:r>
        <w:rPr>
          <w:rFonts w:eastAsiaTheme="minorEastAsia"/>
        </w:rPr>
        <w:t xml:space="preserve"> </w:t>
      </w:r>
      <m:oMath>
        <m:r>
          <w:rPr>
            <w:rFonts w:ascii="Cambria Math" w:hAnsi="Cambria Math"/>
          </w:rPr>
          <m:t>n</m:t>
        </m:r>
        <m:rad>
          <m:radPr>
            <m:degHide m:val="on"/>
            <m:ctrlPr>
              <w:rPr>
                <w:rFonts w:ascii="Cambria Math" w:hAnsi="Cambria Math"/>
                <w:i/>
              </w:rPr>
            </m:ctrlPr>
          </m:radPr>
          <m:deg/>
          <m:e>
            <m:r>
              <w:rPr>
                <w:rFonts w:ascii="Cambria Math" w:hAnsi="Cambria Math"/>
              </w:rPr>
              <m:t>n</m:t>
            </m:r>
          </m:e>
        </m:rad>
      </m:oMath>
      <w:r>
        <w:rPr>
          <w:rFonts w:eastAsiaTheme="minorEastAsia"/>
        </w:rPr>
        <w:t xml:space="preserve"> would be a perfect fit.  </w:t>
      </w:r>
    </w:p>
    <w:p w:rsidR="00731DAF" w:rsidRDefault="00731DAF" w:rsidP="00E95601">
      <w:r>
        <w:t xml:space="preserve">Listing 22.6 mostly contains instructions that are all executed with constant time complexity with the exception of a while-loop which executes with a time complexity of </w:t>
      </w:r>
      <w:proofErr w:type="gramStart"/>
      <w:r>
        <w:t>O(</w:t>
      </w:r>
      <w:proofErr w:type="gramEnd"/>
      <w:r>
        <w:t xml:space="preserve">n).  This explains why its growth rate is linear.  Listing 22.7 is also linear.  When looking at Listing 22.7, there are </w:t>
      </w:r>
      <w:r w:rsidR="00907C80">
        <w:t>three for-loops</w:t>
      </w:r>
      <w:r>
        <w:t xml:space="preserve"> that execute with a time complexity of </w:t>
      </w:r>
      <w:proofErr w:type="gramStart"/>
      <w:r>
        <w:t>O(</w:t>
      </w:r>
      <w:proofErr w:type="gramEnd"/>
      <w:r>
        <w:t>n)</w:t>
      </w:r>
      <w:r w:rsidR="00907C80">
        <w:t xml:space="preserve">.  However, since none of these for-loops are nested, the time complexity for these instructions are summed, </w:t>
      </w:r>
      <w:proofErr w:type="gramStart"/>
      <w:r w:rsidR="00907C80">
        <w:t>O(</w:t>
      </w:r>
      <w:proofErr w:type="gramEnd"/>
      <w:r w:rsidR="00907C80">
        <w:t>3n), which can be simplified to O(n).</w:t>
      </w:r>
    </w:p>
    <w:p w:rsidR="00907C80" w:rsidRPr="00E95601" w:rsidRDefault="00907C80" w:rsidP="00E95601">
      <w:r>
        <w:t xml:space="preserve">Print instructions to the console take a tremendous amount of time, as illustrated in the graph.  With the print instructions removed, the time required to execute even the worst algorithm, Listing 22.5, was reduced to be roughly the same as Listing 22.6 and Listing 22.7 with their print statements.  Listing 22.6, without its print statements, took less than 3000 ms in every case, and Listing 22.7 dropped to less than 300 ms to perform the same tasks.  </w:t>
      </w:r>
    </w:p>
    <w:sectPr w:rsidR="00907C80" w:rsidRPr="00E95601" w:rsidSect="006E1EE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DAF" w:rsidRDefault="00731DAF" w:rsidP="00E95601">
      <w:pPr>
        <w:spacing w:after="0" w:line="240" w:lineRule="auto"/>
      </w:pPr>
      <w:r>
        <w:separator/>
      </w:r>
    </w:p>
  </w:endnote>
  <w:endnote w:type="continuationSeparator" w:id="1">
    <w:p w:rsidR="00731DAF" w:rsidRDefault="00731DAF" w:rsidP="00E95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DAF" w:rsidRDefault="001F2476" w:rsidP="00E95601">
    <w:pPr>
      <w:ind w:left="3600" w:firstLine="720"/>
    </w:pPr>
    <w:sdt>
      <w:sdtPr>
        <w:id w:val="250395305"/>
        <w:docPartObj>
          <w:docPartGallery w:val="Page Numbers (Top of Page)"/>
          <w:docPartUnique/>
        </w:docPartObj>
      </w:sdtPr>
      <w:sdtContent>
        <w:r w:rsidR="00731DAF">
          <w:t xml:space="preserve">Page </w:t>
        </w:r>
        <w:fldSimple w:instr=" PAGE ">
          <w:r w:rsidR="00B220DC">
            <w:rPr>
              <w:noProof/>
            </w:rPr>
            <w:t>3</w:t>
          </w:r>
        </w:fldSimple>
        <w:r w:rsidR="00731DAF">
          <w:t>/</w:t>
        </w:r>
        <w:fldSimple w:instr=" NUMPAGES  ">
          <w:r w:rsidR="00B220DC">
            <w:rPr>
              <w:noProof/>
            </w:rPr>
            <w:t>3</w:t>
          </w:r>
        </w:fldSimple>
      </w:sdtContent>
    </w:sdt>
  </w:p>
  <w:p w:rsidR="00731DAF" w:rsidRDefault="00731D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DAF" w:rsidRDefault="00731DAF" w:rsidP="00E95601">
      <w:pPr>
        <w:spacing w:after="0" w:line="240" w:lineRule="auto"/>
      </w:pPr>
      <w:r>
        <w:separator/>
      </w:r>
    </w:p>
  </w:footnote>
  <w:footnote w:type="continuationSeparator" w:id="1">
    <w:p w:rsidR="00731DAF" w:rsidRDefault="00731DAF" w:rsidP="00E956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DAF" w:rsidRDefault="00B220DC">
    <w:pPr>
      <w:pStyle w:val="Header"/>
    </w:pPr>
    <w:r>
      <w:t>Exploring Execution Time Complexity</w:t>
    </w:r>
    <w:r>
      <w:tab/>
    </w:r>
    <w:r>
      <w:tab/>
      <w:t>Jimmy Nguyen</w:t>
    </w:r>
  </w:p>
  <w:p w:rsidR="00B220DC" w:rsidRDefault="00B220DC">
    <w:pPr>
      <w:pStyle w:val="Header"/>
    </w:pPr>
    <w:r>
      <w:tab/>
    </w:r>
    <w:r>
      <w:tab/>
      <w:t>Jimmy@JimmyWorks.net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0"/>
    <w:footnote w:id="1"/>
  </w:footnotePr>
  <w:endnotePr>
    <w:endnote w:id="0"/>
    <w:endnote w:id="1"/>
  </w:endnotePr>
  <w:compat/>
  <w:rsids>
    <w:rsidRoot w:val="00F32573"/>
    <w:rsid w:val="001C1271"/>
    <w:rsid w:val="001F2476"/>
    <w:rsid w:val="0035101E"/>
    <w:rsid w:val="006E1EE1"/>
    <w:rsid w:val="00731DAF"/>
    <w:rsid w:val="00907C80"/>
    <w:rsid w:val="00A143C1"/>
    <w:rsid w:val="00B220DC"/>
    <w:rsid w:val="00B35A17"/>
    <w:rsid w:val="00E95601"/>
    <w:rsid w:val="00EB6549"/>
    <w:rsid w:val="00F32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E1"/>
  </w:style>
  <w:style w:type="paragraph" w:styleId="Heading1">
    <w:name w:val="heading 1"/>
    <w:basedOn w:val="Normal"/>
    <w:next w:val="Normal"/>
    <w:link w:val="Heading1Char"/>
    <w:uiPriority w:val="9"/>
    <w:qFormat/>
    <w:rsid w:val="00E95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73"/>
    <w:rPr>
      <w:rFonts w:ascii="Tahoma" w:hAnsi="Tahoma" w:cs="Tahoma"/>
      <w:sz w:val="16"/>
      <w:szCs w:val="16"/>
    </w:rPr>
  </w:style>
  <w:style w:type="table" w:styleId="TableGrid">
    <w:name w:val="Table Grid"/>
    <w:basedOn w:val="TableNormal"/>
    <w:uiPriority w:val="59"/>
    <w:rsid w:val="00351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2">
    <w:name w:val="Medium Grid 3 Accent 2"/>
    <w:basedOn w:val="TableNormal"/>
    <w:uiPriority w:val="69"/>
    <w:rsid w:val="001C12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C12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1">
    <w:name w:val="Medium Grid 3 Accent 1"/>
    <w:basedOn w:val="TableNormal"/>
    <w:uiPriority w:val="69"/>
    <w:rsid w:val="001C12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semiHidden/>
    <w:unhideWhenUsed/>
    <w:rsid w:val="00E956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5601"/>
  </w:style>
  <w:style w:type="paragraph" w:styleId="Footer">
    <w:name w:val="footer"/>
    <w:basedOn w:val="Normal"/>
    <w:link w:val="FooterChar"/>
    <w:uiPriority w:val="99"/>
    <w:semiHidden/>
    <w:unhideWhenUsed/>
    <w:rsid w:val="00E956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5601"/>
  </w:style>
  <w:style w:type="character" w:customStyle="1" w:styleId="Heading1Char">
    <w:name w:val="Heading 1 Char"/>
    <w:basedOn w:val="DefaultParagraphFont"/>
    <w:link w:val="Heading1"/>
    <w:uiPriority w:val="9"/>
    <w:rsid w:val="00E95601"/>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31DA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Growth</a:t>
            </a:r>
            <a:r>
              <a:rPr lang="en-US" baseline="0"/>
              <a:t> Rates of Algorithms 22.5-22.7</a:t>
            </a:r>
            <a:endParaRPr lang="en-US"/>
          </a:p>
        </c:rich>
      </c:tx>
      <c:layout/>
    </c:title>
    <c:plotArea>
      <c:layout/>
      <c:lineChart>
        <c:grouping val="standard"/>
        <c:ser>
          <c:idx val="0"/>
          <c:order val="0"/>
          <c:tx>
            <c:strRef>
              <c:f>Sheet1!$B$1</c:f>
              <c:strCache>
                <c:ptCount val="1"/>
                <c:pt idx="0">
                  <c:v>Listing 22.5 w/ output</c:v>
                </c:pt>
              </c:strCache>
            </c:strRef>
          </c:tx>
          <c:marker>
            <c:symbol val="none"/>
          </c:marker>
          <c:cat>
            <c:numRef>
              <c:f>Sheet1!$A$2:$A$7</c:f>
              <c:numCache>
                <c:formatCode>General</c:formatCode>
                <c:ptCount val="6"/>
                <c:pt idx="0">
                  <c:v>8000000</c:v>
                </c:pt>
                <c:pt idx="1">
                  <c:v>10000000</c:v>
                </c:pt>
                <c:pt idx="2">
                  <c:v>12000000</c:v>
                </c:pt>
                <c:pt idx="3">
                  <c:v>14000000</c:v>
                </c:pt>
                <c:pt idx="4">
                  <c:v>16000000</c:v>
                </c:pt>
                <c:pt idx="5">
                  <c:v>18000000</c:v>
                </c:pt>
              </c:numCache>
            </c:numRef>
          </c:cat>
          <c:val>
            <c:numRef>
              <c:f>Sheet1!$B$2:$B$7</c:f>
              <c:numCache>
                <c:formatCode>General</c:formatCode>
                <c:ptCount val="6"/>
                <c:pt idx="0">
                  <c:v>15855</c:v>
                </c:pt>
                <c:pt idx="1">
                  <c:v>21135</c:v>
                </c:pt>
                <c:pt idx="2">
                  <c:v>26924</c:v>
                </c:pt>
                <c:pt idx="3">
                  <c:v>33047</c:v>
                </c:pt>
                <c:pt idx="4">
                  <c:v>39402</c:v>
                </c:pt>
                <c:pt idx="5">
                  <c:v>46326</c:v>
                </c:pt>
              </c:numCache>
            </c:numRef>
          </c:val>
        </c:ser>
        <c:ser>
          <c:idx val="1"/>
          <c:order val="1"/>
          <c:tx>
            <c:strRef>
              <c:f>Sheet1!$C$1</c:f>
              <c:strCache>
                <c:ptCount val="1"/>
                <c:pt idx="0">
                  <c:v>Listing 22.6 w/ output</c:v>
                </c:pt>
              </c:strCache>
            </c:strRef>
          </c:tx>
          <c:marker>
            <c:symbol val="none"/>
          </c:marker>
          <c:cat>
            <c:numRef>
              <c:f>Sheet1!$A$2:$A$7</c:f>
              <c:numCache>
                <c:formatCode>General</c:formatCode>
                <c:ptCount val="6"/>
                <c:pt idx="0">
                  <c:v>8000000</c:v>
                </c:pt>
                <c:pt idx="1">
                  <c:v>10000000</c:v>
                </c:pt>
                <c:pt idx="2">
                  <c:v>12000000</c:v>
                </c:pt>
                <c:pt idx="3">
                  <c:v>14000000</c:v>
                </c:pt>
                <c:pt idx="4">
                  <c:v>16000000</c:v>
                </c:pt>
                <c:pt idx="5">
                  <c:v>18000000</c:v>
                </c:pt>
              </c:numCache>
            </c:numRef>
          </c:cat>
          <c:val>
            <c:numRef>
              <c:f>Sheet1!$C$2:$C$7</c:f>
              <c:numCache>
                <c:formatCode>General</c:formatCode>
                <c:ptCount val="6"/>
                <c:pt idx="0">
                  <c:v>4710</c:v>
                </c:pt>
                <c:pt idx="1">
                  <c:v>5856</c:v>
                </c:pt>
                <c:pt idx="2">
                  <c:v>6808</c:v>
                </c:pt>
                <c:pt idx="3">
                  <c:v>7923</c:v>
                </c:pt>
                <c:pt idx="4">
                  <c:v>9319</c:v>
                </c:pt>
                <c:pt idx="5">
                  <c:v>10296</c:v>
                </c:pt>
              </c:numCache>
            </c:numRef>
          </c:val>
        </c:ser>
        <c:ser>
          <c:idx val="2"/>
          <c:order val="2"/>
          <c:tx>
            <c:strRef>
              <c:f>Sheet1!$D$1</c:f>
              <c:strCache>
                <c:ptCount val="1"/>
                <c:pt idx="0">
                  <c:v>Listing 22.7 w/ output</c:v>
                </c:pt>
              </c:strCache>
            </c:strRef>
          </c:tx>
          <c:marker>
            <c:symbol val="none"/>
          </c:marker>
          <c:cat>
            <c:numRef>
              <c:f>Sheet1!$A$2:$A$7</c:f>
              <c:numCache>
                <c:formatCode>General</c:formatCode>
                <c:ptCount val="6"/>
                <c:pt idx="0">
                  <c:v>8000000</c:v>
                </c:pt>
                <c:pt idx="1">
                  <c:v>10000000</c:v>
                </c:pt>
                <c:pt idx="2">
                  <c:v>12000000</c:v>
                </c:pt>
                <c:pt idx="3">
                  <c:v>14000000</c:v>
                </c:pt>
                <c:pt idx="4">
                  <c:v>16000000</c:v>
                </c:pt>
                <c:pt idx="5">
                  <c:v>18000000</c:v>
                </c:pt>
              </c:numCache>
            </c:numRef>
          </c:cat>
          <c:val>
            <c:numRef>
              <c:f>Sheet1!$D$2:$D$7</c:f>
              <c:numCache>
                <c:formatCode>General</c:formatCode>
                <c:ptCount val="6"/>
                <c:pt idx="0">
                  <c:v>5453</c:v>
                </c:pt>
                <c:pt idx="1">
                  <c:v>6630</c:v>
                </c:pt>
                <c:pt idx="2">
                  <c:v>7663</c:v>
                </c:pt>
                <c:pt idx="3">
                  <c:v>8807</c:v>
                </c:pt>
                <c:pt idx="4">
                  <c:v>9989</c:v>
                </c:pt>
                <c:pt idx="5">
                  <c:v>11161</c:v>
                </c:pt>
              </c:numCache>
            </c:numRef>
          </c:val>
        </c:ser>
        <c:ser>
          <c:idx val="3"/>
          <c:order val="3"/>
          <c:tx>
            <c:strRef>
              <c:f>Sheet1!$E$1</c:f>
              <c:strCache>
                <c:ptCount val="1"/>
                <c:pt idx="0">
                  <c:v>Listing 22.5 w/o output</c:v>
                </c:pt>
              </c:strCache>
            </c:strRef>
          </c:tx>
          <c:spPr>
            <a:ln>
              <a:solidFill>
                <a:schemeClr val="accent1"/>
              </a:solidFill>
              <a:prstDash val="dash"/>
            </a:ln>
          </c:spPr>
          <c:marker>
            <c:symbol val="none"/>
          </c:marker>
          <c:cat>
            <c:numRef>
              <c:f>Sheet1!$A$2:$A$7</c:f>
              <c:numCache>
                <c:formatCode>General</c:formatCode>
                <c:ptCount val="6"/>
                <c:pt idx="0">
                  <c:v>8000000</c:v>
                </c:pt>
                <c:pt idx="1">
                  <c:v>10000000</c:v>
                </c:pt>
                <c:pt idx="2">
                  <c:v>12000000</c:v>
                </c:pt>
                <c:pt idx="3">
                  <c:v>14000000</c:v>
                </c:pt>
                <c:pt idx="4">
                  <c:v>16000000</c:v>
                </c:pt>
                <c:pt idx="5">
                  <c:v>18000000</c:v>
                </c:pt>
              </c:numCache>
            </c:numRef>
          </c:cat>
          <c:val>
            <c:numRef>
              <c:f>Sheet1!$E$2:$E$7</c:f>
              <c:numCache>
                <c:formatCode>General</c:formatCode>
                <c:ptCount val="6"/>
                <c:pt idx="0">
                  <c:v>4355</c:v>
                </c:pt>
                <c:pt idx="1">
                  <c:v>6049</c:v>
                </c:pt>
                <c:pt idx="2">
                  <c:v>6153</c:v>
                </c:pt>
                <c:pt idx="3">
                  <c:v>7670</c:v>
                </c:pt>
                <c:pt idx="4">
                  <c:v>9233</c:v>
                </c:pt>
                <c:pt idx="5">
                  <c:v>10986</c:v>
                </c:pt>
              </c:numCache>
            </c:numRef>
          </c:val>
        </c:ser>
        <c:ser>
          <c:idx val="4"/>
          <c:order val="4"/>
          <c:tx>
            <c:strRef>
              <c:f>Sheet1!$F$1</c:f>
              <c:strCache>
                <c:ptCount val="1"/>
                <c:pt idx="0">
                  <c:v>Listing 22.6 w/o output</c:v>
                </c:pt>
              </c:strCache>
            </c:strRef>
          </c:tx>
          <c:spPr>
            <a:ln>
              <a:solidFill>
                <a:srgbClr val="C00000"/>
              </a:solidFill>
              <a:prstDash val="dash"/>
            </a:ln>
          </c:spPr>
          <c:marker>
            <c:symbol val="none"/>
          </c:marker>
          <c:cat>
            <c:numRef>
              <c:f>Sheet1!$A$2:$A$7</c:f>
              <c:numCache>
                <c:formatCode>General</c:formatCode>
                <c:ptCount val="6"/>
                <c:pt idx="0">
                  <c:v>8000000</c:v>
                </c:pt>
                <c:pt idx="1">
                  <c:v>10000000</c:v>
                </c:pt>
                <c:pt idx="2">
                  <c:v>12000000</c:v>
                </c:pt>
                <c:pt idx="3">
                  <c:v>14000000</c:v>
                </c:pt>
                <c:pt idx="4">
                  <c:v>16000000</c:v>
                </c:pt>
                <c:pt idx="5">
                  <c:v>18000000</c:v>
                </c:pt>
              </c:numCache>
            </c:numRef>
          </c:cat>
          <c:val>
            <c:numRef>
              <c:f>Sheet1!$F$2:$F$7</c:f>
              <c:numCache>
                <c:formatCode>General</c:formatCode>
                <c:ptCount val="6"/>
                <c:pt idx="0">
                  <c:v>837</c:v>
                </c:pt>
                <c:pt idx="1">
                  <c:v>1073</c:v>
                </c:pt>
                <c:pt idx="2">
                  <c:v>1292</c:v>
                </c:pt>
                <c:pt idx="3">
                  <c:v>1714</c:v>
                </c:pt>
                <c:pt idx="4">
                  <c:v>2027</c:v>
                </c:pt>
                <c:pt idx="5">
                  <c:v>2349</c:v>
                </c:pt>
              </c:numCache>
            </c:numRef>
          </c:val>
        </c:ser>
        <c:ser>
          <c:idx val="5"/>
          <c:order val="5"/>
          <c:tx>
            <c:strRef>
              <c:f>Sheet1!$G$1</c:f>
              <c:strCache>
                <c:ptCount val="1"/>
                <c:pt idx="0">
                  <c:v>Listing 22.7 w/o output</c:v>
                </c:pt>
              </c:strCache>
            </c:strRef>
          </c:tx>
          <c:spPr>
            <a:ln>
              <a:solidFill>
                <a:schemeClr val="accent3"/>
              </a:solidFill>
              <a:prstDash val="dash"/>
            </a:ln>
          </c:spPr>
          <c:marker>
            <c:symbol val="none"/>
          </c:marker>
          <c:cat>
            <c:numRef>
              <c:f>Sheet1!$A$2:$A$7</c:f>
              <c:numCache>
                <c:formatCode>General</c:formatCode>
                <c:ptCount val="6"/>
                <c:pt idx="0">
                  <c:v>8000000</c:v>
                </c:pt>
                <c:pt idx="1">
                  <c:v>10000000</c:v>
                </c:pt>
                <c:pt idx="2">
                  <c:v>12000000</c:v>
                </c:pt>
                <c:pt idx="3">
                  <c:v>14000000</c:v>
                </c:pt>
                <c:pt idx="4">
                  <c:v>16000000</c:v>
                </c:pt>
                <c:pt idx="5">
                  <c:v>18000000</c:v>
                </c:pt>
              </c:numCache>
            </c:numRef>
          </c:cat>
          <c:val>
            <c:numRef>
              <c:f>Sheet1!$G$2:$G$7</c:f>
              <c:numCache>
                <c:formatCode>General</c:formatCode>
                <c:ptCount val="6"/>
                <c:pt idx="0">
                  <c:v>112</c:v>
                </c:pt>
                <c:pt idx="1">
                  <c:v>136</c:v>
                </c:pt>
                <c:pt idx="2">
                  <c:v>170</c:v>
                </c:pt>
                <c:pt idx="3">
                  <c:v>197</c:v>
                </c:pt>
                <c:pt idx="4">
                  <c:v>237</c:v>
                </c:pt>
                <c:pt idx="5">
                  <c:v>267</c:v>
                </c:pt>
              </c:numCache>
            </c:numRef>
          </c:val>
        </c:ser>
        <c:marker val="1"/>
        <c:axId val="90577152"/>
        <c:axId val="90595328"/>
      </c:lineChart>
      <c:catAx>
        <c:axId val="90577152"/>
        <c:scaling>
          <c:orientation val="minMax"/>
        </c:scaling>
        <c:axPos val="b"/>
        <c:numFmt formatCode="General" sourceLinked="1"/>
        <c:tickLblPos val="nextTo"/>
        <c:crossAx val="90595328"/>
        <c:crosses val="autoZero"/>
        <c:auto val="1"/>
        <c:lblAlgn val="ctr"/>
        <c:lblOffset val="100"/>
      </c:catAx>
      <c:valAx>
        <c:axId val="90595328"/>
        <c:scaling>
          <c:orientation val="minMax"/>
        </c:scaling>
        <c:axPos val="l"/>
        <c:majorGridlines/>
        <c:numFmt formatCode="General" sourceLinked="1"/>
        <c:tickLblPos val="nextTo"/>
        <c:crossAx val="9057715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cp:revision>
  <dcterms:created xsi:type="dcterms:W3CDTF">2017-04-23T00:20:00Z</dcterms:created>
  <dcterms:modified xsi:type="dcterms:W3CDTF">2017-04-23T00:20:00Z</dcterms:modified>
</cp:coreProperties>
</file>