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EEDE2" w14:textId="4BAFF66F" w:rsidR="006B43DD" w:rsidRDefault="001C3809" w:rsidP="00BB1AF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sidR="006B43DD">
        <w:rPr>
          <w:rFonts w:ascii="Arial" w:hAnsi="Arial" w:cs="Arial"/>
          <w:b/>
          <w:bCs/>
          <w:color w:val="808080"/>
          <w:sz w:val="20"/>
          <w:szCs w:val="20"/>
        </w:rPr>
        <w:t>1</w:t>
      </w:r>
      <w:r w:rsidR="006B43DD"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FD49988" w14:textId="26176DE0" w:rsidR="00BB1AF9" w:rsidRPr="007937F4" w:rsidRDefault="00BB1AF9" w:rsidP="00BB1AF9">
      <w:pPr>
        <w:spacing w:before="120" w:after="120" w:line="240" w:lineRule="atLeast"/>
        <w:rPr>
          <w:rFonts w:ascii="Arial" w:hAnsi="Arial" w:cs="Arial"/>
          <w:b/>
          <w:bCs/>
          <w:color w:val="808080"/>
          <w:sz w:val="20"/>
          <w:szCs w:val="20"/>
        </w:rPr>
      </w:pPr>
      <w:r w:rsidRPr="007937F4">
        <w:rPr>
          <w:rFonts w:ascii="Arial" w:hAnsi="Arial" w:cs="Arial"/>
          <w:b/>
          <w:bCs/>
          <w:color w:val="808080"/>
          <w:sz w:val="20"/>
          <w:szCs w:val="20"/>
        </w:rPr>
        <w:t xml:space="preserve">Comentario sentencia </w:t>
      </w:r>
      <w:proofErr w:type="spellStart"/>
      <w:r w:rsidRPr="007937F4">
        <w:rPr>
          <w:rFonts w:ascii="Arial" w:hAnsi="Arial" w:cs="Arial"/>
          <w:b/>
          <w:bCs/>
          <w:color w:val="808080"/>
          <w:sz w:val="20"/>
          <w:szCs w:val="20"/>
        </w:rPr>
        <w:t>Cashpooling</w:t>
      </w:r>
      <w:proofErr w:type="spellEnd"/>
    </w:p>
    <w:p w14:paraId="2A12DB30" w14:textId="77777777" w:rsidR="00BB1AF9" w:rsidRPr="007937F4" w:rsidRDefault="00BB1AF9" w:rsidP="00BB1AF9">
      <w:p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Se ha identificado que la documentación de precios de transferencia de la Compañía correspondiente al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implementado presenta una asimetría en los tipos de interés aplicados a los saldos deudores y acreedores, lo cual podría no ajustarse al principio de plena competencia establecido en la normativa fiscal española y las directrices de la OCDE.</w:t>
      </w:r>
    </w:p>
    <w:p w14:paraId="306F7FAE" w14:textId="77777777" w:rsidR="00BB1AF9" w:rsidRPr="007937F4" w:rsidRDefault="00BB1AF9" w:rsidP="00BB1AF9">
      <w:p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En este sentido, es relevante destacar la reciente sentencia del Tribunal Supremo 985/2025, de 15 de julio, que establece doctrina en relación con la valoración de operaciones vinculadas en sistemas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En dicha sentencia, el Tribunal Supremo concluye que:</w:t>
      </w:r>
    </w:p>
    <w:p w14:paraId="4081F560"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Simetría en los tipos de interés: Los tipos de interés aplicados a las posiciones deudoras y acreedoras dentro de un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deben ser simétricos, salvo que existan justificaciones objetivas y razonables que permitan una diferencia en los tipos aplicados. Esta simetría es esencial para garantizar que las operaciones se realicen en condiciones de plena competencia, tal como lo exige la normativa fiscal española y las directrices de la OCDE.</w:t>
      </w:r>
    </w:p>
    <w:p w14:paraId="54AF426F"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Calificación de las operaciones: Las aportaciones de fondos realizadas por las filiales al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deben considerarse como préstamos intragrupo a corto plazo, y no como depósitos. Esta calificación es crucial para determinar la adecuada aplicación de los tipos de interés y la correcta documentación de las operaciones.</w:t>
      </w:r>
    </w:p>
    <w:p w14:paraId="62947F01"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Calificación crediticia: La calificación crediticia aplicable para la determinación de los tipos de interés debe ser la del grupo multinacional en su conjunto, y no la de la filial individual. Este enfoque refleja de manera más precisa el perfil de riesgo del grupo y asegura que las operaciones se valoren en condiciones de plena competencia.</w:t>
      </w:r>
    </w:p>
    <w:p w14:paraId="75D92BAB"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Remuneración de la entidad líder: La entidad que actúa como líder en el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debe ser remunerada por sus funciones de coordinación y gestión, y dicha remuneración debe ser acorde con su perfil funcional. No se debe permitir que la entidad líder obtenga beneficios adicionales derivados de la asimetría en los tipos de interés aplicados a las posiciones deudoras y acreedoras.</w:t>
      </w:r>
    </w:p>
    <w:p w14:paraId="276D24F3" w14:textId="77777777" w:rsidR="00BB1AF9" w:rsidRPr="007937F4" w:rsidRDefault="00BB1AF9" w:rsidP="00BB1AF9">
      <w:p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En virtud de lo anterior, se recomienda a la Compañía revisar la documentación de precios de transferencia relacionada con el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para asegurar que:</w:t>
      </w:r>
    </w:p>
    <w:p w14:paraId="212F526D"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Los tipos de interés aplicados a los saldos deudores y acreedores sean simétricos, salvo que existan justificaciones objetivas y razonables que permitan una diferencia.</w:t>
      </w:r>
    </w:p>
    <w:p w14:paraId="2F79D266"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Las aportaciones de fondos se califiquen correctamente como préstamos intragrupo a corto plazo.</w:t>
      </w:r>
    </w:p>
    <w:p w14:paraId="6F8972BC"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La calificación crediticia aplicada sea la del grupo multinacional en su conjunto.</w:t>
      </w:r>
    </w:p>
    <w:p w14:paraId="070394C8"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La remuneración de la entidad líder se ajuste a su perfil funcional y no derive beneficios adicionales de la asimetría en los tipos de interés.</w:t>
      </w:r>
    </w:p>
    <w:p w14:paraId="2F6F6126" w14:textId="77777777" w:rsidR="00BB1AF9" w:rsidRPr="007937F4" w:rsidRDefault="00BB1AF9" w:rsidP="00BB1AF9">
      <w:p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Esta revisión es esencial para garantizar el cumplimiento de las obligaciones fiscales y evitar posibles contingencias tributarias derivadas de la no aplicación del principio de plena competencia en las operaciones vinculadas.</w:t>
      </w:r>
    </w:p>
    <w:p w14:paraId="527A01A1" w14:textId="343C7756" w:rsidR="009B44E7" w:rsidRPr="009F49C0" w:rsidRDefault="009B44E7"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w:t>
      </w:r>
      <w:r w:rsidRPr="006B43DD">
        <w:rPr>
          <w:rFonts w:ascii="Arial" w:hAnsi="Arial" w:cs="Arial"/>
          <w:b/>
          <w:bCs/>
          <w:color w:val="808080"/>
          <w:sz w:val="20"/>
          <w:szCs w:val="20"/>
        </w:rPr>
        <w:t>_</w:t>
      </w:r>
      <w:r w:rsidR="009F49C0"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45C3D2D" w14:textId="77777777" w:rsidR="005B71C8" w:rsidRDefault="005B71C8"/>
    <w:p w14:paraId="2FE7C936" w14:textId="77777777" w:rsidR="00700C66" w:rsidRDefault="00700C66"/>
    <w:p w14:paraId="3F8BA791" w14:textId="77777777" w:rsidR="00700C66" w:rsidRDefault="00700C66"/>
    <w:p w14:paraId="6A03D153" w14:textId="77777777" w:rsidR="00700C66" w:rsidRDefault="00700C66"/>
    <w:p w14:paraId="086FF003" w14:textId="35A0F13E" w:rsid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2</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01F5D041" w14:textId="77777777" w:rsidR="00700C66" w:rsidRPr="00E95B42" w:rsidRDefault="00700C66" w:rsidP="00700C66">
      <w:pPr>
        <w:spacing w:before="120" w:after="120" w:line="240" w:lineRule="atLeast"/>
        <w:jc w:val="both"/>
        <w:rPr>
          <w:rFonts w:ascii="Arial" w:hAnsi="Arial" w:cs="Arial"/>
          <w:b/>
          <w:bCs/>
          <w:color w:val="808080"/>
          <w:sz w:val="20"/>
          <w:szCs w:val="20"/>
        </w:rPr>
      </w:pPr>
      <w:r w:rsidRPr="00E95B42">
        <w:rPr>
          <w:rFonts w:ascii="Arial" w:hAnsi="Arial" w:cs="Arial"/>
          <w:b/>
          <w:bCs/>
          <w:color w:val="808080"/>
          <w:sz w:val="20"/>
          <w:szCs w:val="20"/>
        </w:rPr>
        <w:t>Comentarios Idioma distinto al inglés y/o Español</w:t>
      </w:r>
    </w:p>
    <w:p w14:paraId="4E42F181"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La documentación de precios de transferencia analizada se encuentra redactada en [idioma].</w:t>
      </w:r>
    </w:p>
    <w:p w14:paraId="7937BBED"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De conformidad con lo dispuesto en el artículo 15 de la Ley 39/2015, de 1 de octubre, del Procedimiento Administrativo Común de las Administraciones Públicas, así como en el artículo 106.1 de la Ley 58/2003, General Tributaria (LGT) y el artículo 144 de la Ley 1/2000, de Enjuiciamiento Civil (LEC), la lengua de los procedimientos tramitados ante la Administración General del Estado es el castellano.</w:t>
      </w:r>
    </w:p>
    <w:p w14:paraId="6A3170AD"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No obstante, el Foro Conjunto de la Unión Europea sobre Precios de Transferencia  ha expresado un consenso general según el cual no debería exigirse de forma sistemática la traducción de la documentación al idioma oficial de cada Estado miembro. El citado Foro recomienda que las administraciones acepten, siempre que sea posible, documentación en lenguas de uso común en el ámbito económico internacional, como el inglés, con el fin de reducir costes y agilizar los procedimientos.</w:t>
      </w:r>
    </w:p>
    <w:p w14:paraId="05BC872D"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Sin perjuicio de lo anterior, dado que la aceptación de documentación en idioma distinto del castellano depende del criterio de la Administración tributaria española, se recomienda disponer de una versión traducida al castellano de los documentos presentados.</w:t>
      </w:r>
    </w:p>
    <w:p w14:paraId="2C9A7329"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Contar con dicha traducción permitirá evitar incidencias formales en una eventual actuación de comprobación o inspección, en la que la Administración podría requerir la traducción preceptiva al castellano —o, en su caso, al inglés— para su correcta valoración.</w:t>
      </w:r>
    </w:p>
    <w:p w14:paraId="07EB0395" w14:textId="757AC8F7"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2</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3C40AD02" w14:textId="77777777" w:rsidR="00700C66" w:rsidRPr="00E95B42" w:rsidRDefault="00700C66" w:rsidP="00700C66">
      <w:pPr>
        <w:spacing w:before="120" w:after="120" w:line="240" w:lineRule="atLeast"/>
        <w:rPr>
          <w:rFonts w:ascii="Arial" w:hAnsi="Arial" w:cs="Arial"/>
          <w:color w:val="808080"/>
          <w:sz w:val="20"/>
          <w:szCs w:val="20"/>
        </w:rPr>
      </w:pPr>
    </w:p>
    <w:p w14:paraId="7A935A22" w14:textId="77777777" w:rsidR="00700C66" w:rsidRDefault="00700C66"/>
    <w:p w14:paraId="369F9E17" w14:textId="77777777" w:rsidR="002B767A" w:rsidRDefault="002B767A"/>
    <w:p w14:paraId="7871D7A2" w14:textId="77777777" w:rsidR="002B767A" w:rsidRDefault="002B767A"/>
    <w:p w14:paraId="072F1A2D" w14:textId="77777777" w:rsidR="002B767A" w:rsidRDefault="002B767A"/>
    <w:p w14:paraId="26B0EA7D" w14:textId="77777777" w:rsidR="002B767A" w:rsidRDefault="002B767A"/>
    <w:p w14:paraId="33C863F0" w14:textId="77777777" w:rsidR="002B767A" w:rsidRDefault="002B767A"/>
    <w:p w14:paraId="322DFB5A" w14:textId="77777777" w:rsidR="002B767A" w:rsidRDefault="002B767A"/>
    <w:p w14:paraId="79ABECC4" w14:textId="77777777" w:rsidR="002B767A" w:rsidRDefault="002B767A"/>
    <w:p w14:paraId="4C603BB3" w14:textId="77777777" w:rsidR="002B767A" w:rsidRDefault="002B767A"/>
    <w:p w14:paraId="66EBE669" w14:textId="77777777" w:rsidR="002B767A" w:rsidRDefault="002B767A"/>
    <w:p w14:paraId="46871766" w14:textId="77777777" w:rsidR="002B767A" w:rsidRDefault="002B767A"/>
    <w:p w14:paraId="64BC572B" w14:textId="77777777" w:rsidR="002B767A" w:rsidRDefault="002B767A"/>
    <w:p w14:paraId="5EEA65AC" w14:textId="77777777" w:rsidR="002B767A" w:rsidRDefault="002B767A"/>
    <w:p w14:paraId="21BAEBFB" w14:textId="77777777" w:rsidR="002B767A" w:rsidRDefault="002B767A"/>
    <w:p w14:paraId="7B0F5285" w14:textId="03EE00CD" w:rsidR="002B767A"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3</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1C5E1318" w14:textId="77777777" w:rsidR="002A74FA" w:rsidRPr="00D335E2" w:rsidRDefault="002A74FA" w:rsidP="002A74FA">
      <w:pPr>
        <w:rPr>
          <w:rFonts w:ascii="Arial" w:hAnsi="Arial" w:cs="Arial"/>
          <w:b/>
          <w:bCs/>
          <w:color w:val="808080"/>
          <w:sz w:val="20"/>
          <w:szCs w:val="20"/>
        </w:rPr>
      </w:pPr>
      <w:r w:rsidRPr="00D335E2">
        <w:rPr>
          <w:rFonts w:ascii="Arial" w:hAnsi="Arial" w:cs="Arial"/>
          <w:b/>
          <w:bCs/>
          <w:color w:val="808080"/>
          <w:sz w:val="20"/>
          <w:szCs w:val="20"/>
        </w:rPr>
        <w:lastRenderedPageBreak/>
        <w:t>Diferencias 232, CCAA y Local File</w:t>
      </w:r>
    </w:p>
    <w:p w14:paraId="600F458D"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Se han detectado inconsistencias entre los importes declarados en el Modelo 232 y los recogidos en las cuentas anuales de la Compañía, concretamente en relación con [insertar operativa].</w:t>
      </w:r>
      <w:r w:rsidRPr="00C30353">
        <w:rPr>
          <w:rFonts w:ascii="Arial" w:hAnsi="Arial" w:cs="Arial"/>
          <w:color w:val="808080"/>
          <w:sz w:val="20"/>
          <w:szCs w:val="20"/>
        </w:rPr>
        <w:br/>
        <w:t>En el Modelo 232 se ha declarado un importe de XX.XXX euros, mientras que en las cuentas anuales figura un importe de XX.XXX euros.</w:t>
      </w:r>
    </w:p>
    <w:p w14:paraId="44EC1727"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De acuerdo con lo previsto en el artículo 18.3 de la Ley del Impuesto sobre Sociedades, el artículo 16 del Reglamento del Impuesto sobre Sociedades, y la Orden HFP/816/2017, los importes declarados y los métodos de valoración consignados en el Modelo 232 deben reflejar de manera consistente la información contenida en la documentación de precios de transferencia y en la contabilidad oficial.</w:t>
      </w:r>
    </w:p>
    <w:p w14:paraId="30410058"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En este sentido, se recomienda revisar la coherencia interna de la información declarada, asegurando que:</w:t>
      </w:r>
    </w:p>
    <w:p w14:paraId="48B70D41" w14:textId="77777777" w:rsidR="002A74FA" w:rsidRPr="00C30353" w:rsidRDefault="002A74FA" w:rsidP="002A74FA">
      <w:pPr>
        <w:numPr>
          <w:ilvl w:val="0"/>
          <w:numId w:val="3"/>
        </w:num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Los importes y conceptos coincidan con los reflejados en las cuentas anuales y en la documentación de precios de transferencia.</w:t>
      </w:r>
    </w:p>
    <w:p w14:paraId="318455EC" w14:textId="77777777" w:rsidR="002A74FA" w:rsidRPr="00C30353" w:rsidRDefault="002A74FA" w:rsidP="002A74FA">
      <w:pPr>
        <w:numPr>
          <w:ilvl w:val="0"/>
          <w:numId w:val="3"/>
        </w:num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El método de valoración declarado en el Modelo 232 sea el mismo que el efectivamente aplicado en la documentación.</w:t>
      </w:r>
    </w:p>
    <w:p w14:paraId="3CE11A5F" w14:textId="77777777" w:rsidR="002A74FA" w:rsidRPr="00C30353" w:rsidRDefault="002A74FA" w:rsidP="002A74FA">
      <w:pPr>
        <w:numPr>
          <w:ilvl w:val="0"/>
          <w:numId w:val="3"/>
        </w:num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Se disponga de un cuadro de conciliación interna que justifique posibles diferencias derivadas de ajustes contables o periodificaciones.</w:t>
      </w:r>
    </w:p>
    <w:p w14:paraId="22BD8DF9"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Esta revisión reforzará la consistencia y trazabilidad del cumplimiento fiscal, reduciendo el riesgo de requerimientos o ajustes por parte de la Administración Tributaria.</w:t>
      </w:r>
    </w:p>
    <w:p w14:paraId="2D5615BC" w14:textId="34FCB15F"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3</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3C359CBC" w14:textId="77777777" w:rsidR="002B767A" w:rsidRDefault="002B767A"/>
    <w:p w14:paraId="2515819F" w14:textId="77777777" w:rsidR="001D2B76" w:rsidRDefault="001D2B76"/>
    <w:p w14:paraId="21282276" w14:textId="77777777" w:rsidR="001D2B76" w:rsidRDefault="001D2B76"/>
    <w:p w14:paraId="0445B45A" w14:textId="77777777" w:rsidR="001D2B76" w:rsidRDefault="001D2B76"/>
    <w:p w14:paraId="75A27324" w14:textId="77777777" w:rsidR="001D2B76" w:rsidRDefault="001D2B76"/>
    <w:p w14:paraId="4406C591" w14:textId="77777777" w:rsidR="001D2B76" w:rsidRDefault="001D2B76"/>
    <w:p w14:paraId="7B339897" w14:textId="77777777" w:rsidR="001D2B76" w:rsidRDefault="001D2B76"/>
    <w:p w14:paraId="7945415A" w14:textId="77777777" w:rsidR="001D2B76" w:rsidRDefault="001D2B76"/>
    <w:p w14:paraId="3803D034" w14:textId="77777777" w:rsidR="001D2B76" w:rsidRDefault="001D2B76"/>
    <w:p w14:paraId="7D1BC0C6" w14:textId="77777777" w:rsidR="001D2B76" w:rsidRDefault="001D2B76"/>
    <w:p w14:paraId="4847D337" w14:textId="77777777" w:rsidR="001D2B76" w:rsidRDefault="001D2B76"/>
    <w:p w14:paraId="4A370FC2" w14:textId="77777777" w:rsidR="001D2B76" w:rsidRDefault="001D2B76"/>
    <w:p w14:paraId="500B0831" w14:textId="77777777" w:rsidR="001D2B76" w:rsidRDefault="001D2B76"/>
    <w:p w14:paraId="0C77D47D" w14:textId="77777777" w:rsidR="001D2B76" w:rsidRDefault="001D2B76"/>
    <w:p w14:paraId="0EA0F377" w14:textId="2E2A2952" w:rsidR="001D2B76"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4</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2CACE12F" w14:textId="77777777" w:rsidR="001D2B76" w:rsidRPr="00CF47E8" w:rsidRDefault="001D2B76" w:rsidP="001D2B76">
      <w:pPr>
        <w:rPr>
          <w:rFonts w:ascii="Arial" w:hAnsi="Arial" w:cs="Arial"/>
          <w:b/>
          <w:bCs/>
          <w:color w:val="808080"/>
          <w:sz w:val="20"/>
          <w:szCs w:val="20"/>
        </w:rPr>
      </w:pPr>
      <w:r w:rsidRPr="00CF47E8">
        <w:rPr>
          <w:rFonts w:ascii="Arial" w:hAnsi="Arial" w:cs="Arial"/>
          <w:b/>
          <w:bCs/>
          <w:color w:val="808080"/>
          <w:sz w:val="20"/>
          <w:szCs w:val="20"/>
        </w:rPr>
        <w:lastRenderedPageBreak/>
        <w:t>Documentación en formato borrador</w:t>
      </w:r>
    </w:p>
    <w:p w14:paraId="7F47A1FC" w14:textId="77777777" w:rsidR="001D2B76" w:rsidRPr="003F3BC3" w:rsidRDefault="001D2B76" w:rsidP="001D2B76">
      <w:pPr>
        <w:spacing w:before="120" w:after="120" w:line="240" w:lineRule="atLeast"/>
        <w:jc w:val="both"/>
        <w:rPr>
          <w:rFonts w:ascii="Arial" w:hAnsi="Arial" w:cs="Arial"/>
          <w:color w:val="808080"/>
          <w:sz w:val="20"/>
          <w:szCs w:val="20"/>
        </w:rPr>
      </w:pPr>
      <w:r w:rsidRPr="003F3BC3">
        <w:rPr>
          <w:rFonts w:ascii="Arial" w:hAnsi="Arial" w:cs="Arial"/>
          <w:color w:val="808080"/>
          <w:sz w:val="20"/>
          <w:szCs w:val="20"/>
        </w:rPr>
        <w:t>Se ha verificado que la documentación de precios de transferencia revisada -concretamente [indicar la documentación en formato borrador]- se encuentra aún en fase de borrador.</w:t>
      </w:r>
    </w:p>
    <w:p w14:paraId="7A1E3F8C" w14:textId="77777777" w:rsidR="001D2B76" w:rsidRPr="003F3BC3" w:rsidRDefault="001D2B76" w:rsidP="001D2B76">
      <w:pPr>
        <w:spacing w:before="120" w:after="120" w:line="240" w:lineRule="atLeast"/>
        <w:jc w:val="both"/>
        <w:rPr>
          <w:rFonts w:ascii="Arial" w:hAnsi="Arial" w:cs="Arial"/>
          <w:color w:val="808080"/>
          <w:sz w:val="20"/>
          <w:szCs w:val="20"/>
        </w:rPr>
      </w:pPr>
      <w:r w:rsidRPr="003F3BC3">
        <w:rPr>
          <w:rFonts w:ascii="Arial" w:hAnsi="Arial" w:cs="Arial"/>
          <w:color w:val="808080"/>
          <w:sz w:val="20"/>
          <w:szCs w:val="20"/>
        </w:rPr>
        <w:t>De acuerdo con lo dispuesto en los artículos 18.3 de la Ley del Impuesto sobre Sociedades (LIS) y 15 del Reglamento del Impuesto sobre Sociedades (RIS), la documentación de operaciones vinculadas debe estar finalizada y disponible en el momento de la presentación de la declaración del impuesto, a fin de poder ser aportada ante la Administración Tributaria en caso de requerimiento.</w:t>
      </w:r>
    </w:p>
    <w:p w14:paraId="7578D990" w14:textId="77777777" w:rsidR="001D2B76" w:rsidRPr="003F3BC3" w:rsidRDefault="001D2B76" w:rsidP="001D2B76">
      <w:pPr>
        <w:spacing w:before="120" w:after="120" w:line="240" w:lineRule="atLeast"/>
        <w:jc w:val="both"/>
        <w:rPr>
          <w:rFonts w:ascii="Arial" w:hAnsi="Arial" w:cs="Arial"/>
          <w:color w:val="808080"/>
          <w:sz w:val="20"/>
          <w:szCs w:val="20"/>
        </w:rPr>
      </w:pPr>
      <w:r w:rsidRPr="003F3BC3">
        <w:rPr>
          <w:rFonts w:ascii="Arial" w:hAnsi="Arial" w:cs="Arial"/>
          <w:color w:val="808080"/>
          <w:sz w:val="20"/>
          <w:szCs w:val="20"/>
        </w:rPr>
        <w:t>En consecuencia, se recomienda formalizar la versión definitiva de todos los documentos de precios de transferencia con carácter previo al cierre fiscal, para garantizar el cumplimiento de los requisitos formales y evitar posibles contingencias o sanciones por defectos documentales.</w:t>
      </w:r>
    </w:p>
    <w:p w14:paraId="3C04B956" w14:textId="23FD63FE"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4</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CDB85E8" w14:textId="77777777" w:rsidR="001D2B76" w:rsidRDefault="001D2B76"/>
    <w:p w14:paraId="17D3F192" w14:textId="77777777" w:rsidR="00FE7E67" w:rsidRDefault="00FE7E67"/>
    <w:p w14:paraId="17118A36" w14:textId="77777777" w:rsidR="00FE7E67" w:rsidRDefault="00FE7E67"/>
    <w:p w14:paraId="114A16A6" w14:textId="77777777" w:rsidR="00FE7E67" w:rsidRDefault="00FE7E67"/>
    <w:p w14:paraId="3A04033A" w14:textId="77777777" w:rsidR="00FE7E67" w:rsidRDefault="00FE7E67"/>
    <w:p w14:paraId="641E81DA" w14:textId="77777777" w:rsidR="00FE7E67" w:rsidRDefault="00FE7E67"/>
    <w:p w14:paraId="1CF8BFC5" w14:textId="77777777" w:rsidR="00FE7E67" w:rsidRDefault="00FE7E67"/>
    <w:p w14:paraId="2725C164" w14:textId="77777777" w:rsidR="00FE7E67" w:rsidRDefault="00FE7E67"/>
    <w:p w14:paraId="2D4E45D0" w14:textId="77777777" w:rsidR="00FE7E67" w:rsidRDefault="00FE7E67"/>
    <w:p w14:paraId="57269725" w14:textId="77777777" w:rsidR="00FE7E67" w:rsidRDefault="00FE7E67"/>
    <w:p w14:paraId="3F5DDDE6" w14:textId="77777777" w:rsidR="00FE7E67" w:rsidRDefault="00FE7E67"/>
    <w:p w14:paraId="6F847980" w14:textId="77777777" w:rsidR="00FE7E67" w:rsidRDefault="00FE7E67"/>
    <w:p w14:paraId="5F5DC9A3" w14:textId="77777777" w:rsidR="00FE7E67" w:rsidRDefault="00FE7E67"/>
    <w:p w14:paraId="1778CC40" w14:textId="77777777" w:rsidR="00FE7E67" w:rsidRDefault="00FE7E67"/>
    <w:p w14:paraId="1180E172" w14:textId="77777777" w:rsidR="00FE7E67" w:rsidRDefault="00FE7E67"/>
    <w:p w14:paraId="22ED39CA" w14:textId="77777777" w:rsidR="00FE7E67" w:rsidRDefault="00FE7E67"/>
    <w:p w14:paraId="720D35CA" w14:textId="77777777" w:rsidR="00FE7E67" w:rsidRDefault="00FE7E67"/>
    <w:p w14:paraId="39E19C0D" w14:textId="77777777" w:rsidR="00FE7E67" w:rsidRDefault="00FE7E67"/>
    <w:p w14:paraId="052E9F9D" w14:textId="77777777" w:rsidR="00FE7E67" w:rsidRDefault="00FE7E67"/>
    <w:p w14:paraId="5C155EB7" w14:textId="77777777" w:rsidR="00FE7E67" w:rsidRDefault="00FE7E67"/>
    <w:p w14:paraId="2C254B1B" w14:textId="37765F56" w:rsidR="00FE7E67"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5</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2953F38" w14:textId="77777777" w:rsidR="00BC04D8" w:rsidRPr="003841E3" w:rsidRDefault="00BC04D8" w:rsidP="00BC04D8">
      <w:pPr>
        <w:rPr>
          <w:rFonts w:ascii="Arial" w:hAnsi="Arial" w:cs="Arial"/>
          <w:b/>
          <w:bCs/>
          <w:color w:val="808080"/>
          <w:sz w:val="20"/>
          <w:szCs w:val="20"/>
        </w:rPr>
      </w:pPr>
      <w:r w:rsidRPr="003841E3">
        <w:rPr>
          <w:rFonts w:ascii="Arial" w:hAnsi="Arial" w:cs="Arial"/>
          <w:b/>
          <w:bCs/>
          <w:color w:val="808080"/>
          <w:sz w:val="20"/>
          <w:szCs w:val="20"/>
        </w:rPr>
        <w:t>Error en los filtros de independencia aplicados</w:t>
      </w:r>
    </w:p>
    <w:p w14:paraId="72A72ED1" w14:textId="77777777" w:rsidR="00BC04D8" w:rsidRPr="003841E3" w:rsidRDefault="00BC04D8" w:rsidP="00BC04D8">
      <w:pPr>
        <w:spacing w:before="120" w:after="120" w:line="240" w:lineRule="atLeast"/>
        <w:jc w:val="both"/>
        <w:rPr>
          <w:rFonts w:ascii="Arial" w:hAnsi="Arial" w:cs="Arial"/>
          <w:color w:val="808080"/>
          <w:sz w:val="20"/>
          <w:szCs w:val="20"/>
        </w:rPr>
      </w:pPr>
      <w:r w:rsidRPr="003841E3">
        <w:rPr>
          <w:rFonts w:ascii="Arial" w:hAnsi="Arial" w:cs="Arial"/>
          <w:color w:val="808080"/>
          <w:sz w:val="20"/>
          <w:szCs w:val="20"/>
        </w:rPr>
        <w:t>En relación con la selección de compañías comparables utilizada en el Estudio de Benchmarking, y específicamente con los filtros de independencia aplicados, se observa que el umbral considerado (participaciones inferiores al 50 %) no se alinea con el criterio previsto en la normativa española en materia de precios de transferencia, que establece un límite del 25 % conforme al artículo 18 de la Ley 27/2014, del Impuesto sobre Sociedades, y su normativa de desarrollo.</w:t>
      </w:r>
    </w:p>
    <w:p w14:paraId="12BC0236" w14:textId="77777777" w:rsidR="00BC04D8" w:rsidRPr="003841E3" w:rsidRDefault="00BC04D8" w:rsidP="00BC04D8">
      <w:pPr>
        <w:spacing w:before="120" w:after="120" w:line="240" w:lineRule="atLeast"/>
        <w:jc w:val="both"/>
        <w:rPr>
          <w:rFonts w:ascii="Arial" w:hAnsi="Arial" w:cs="Arial"/>
          <w:color w:val="808080"/>
          <w:sz w:val="20"/>
          <w:szCs w:val="20"/>
        </w:rPr>
      </w:pPr>
      <w:r w:rsidRPr="003841E3">
        <w:rPr>
          <w:rFonts w:ascii="Arial" w:hAnsi="Arial" w:cs="Arial"/>
          <w:color w:val="808080"/>
          <w:sz w:val="20"/>
          <w:szCs w:val="20"/>
        </w:rPr>
        <w:t>En consecuencia, la muestra de empresas seleccionadas podría incluir entidades cuya independencia económica o accionarial resulte cuestionable a efectos de la normativa española, lo que podría ser objeto de observación o ajuste por parte de la Administración Tributaria en un eventual procedimiento de comprobación.</w:t>
      </w:r>
    </w:p>
    <w:p w14:paraId="77D1B18C" w14:textId="6F896D53" w:rsidR="00BC04D8" w:rsidRPr="00385F44" w:rsidRDefault="00BC04D8" w:rsidP="00FE7E67">
      <w:pPr>
        <w:spacing w:before="120" w:after="120" w:line="240" w:lineRule="atLeast"/>
        <w:jc w:val="both"/>
        <w:rPr>
          <w:rFonts w:ascii="Arial" w:hAnsi="Arial" w:cs="Arial"/>
          <w:color w:val="808080"/>
          <w:sz w:val="20"/>
          <w:szCs w:val="20"/>
        </w:rPr>
      </w:pPr>
      <w:r w:rsidRPr="003841E3">
        <w:rPr>
          <w:rFonts w:ascii="Arial" w:hAnsi="Arial" w:cs="Arial"/>
          <w:color w:val="808080"/>
          <w:sz w:val="20"/>
          <w:szCs w:val="20"/>
        </w:rPr>
        <w:t>Se recomienda revisar y depurar la muestra de comparables aplicando el umbral de independencia del 25 %, verificando tanto la estructura accionarial como las participaciones mantenidas en otras sociedades, a fin de reforzar la fiabilidad del análisis de comparabilidad y asegurar la plena conformidad con la normativa fiscal española.</w:t>
      </w:r>
    </w:p>
    <w:p w14:paraId="1FC07BD5" w14:textId="144C512B"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5</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DF15173" w14:textId="77777777" w:rsidR="00FE7E67" w:rsidRPr="00385F44" w:rsidRDefault="00FE7E67" w:rsidP="00FE7E67">
      <w:pPr>
        <w:spacing w:before="120" w:after="120" w:line="240" w:lineRule="atLeast"/>
        <w:rPr>
          <w:rFonts w:ascii="Arial" w:hAnsi="Arial" w:cs="Arial"/>
          <w:color w:val="808080"/>
          <w:sz w:val="20"/>
          <w:szCs w:val="20"/>
        </w:rPr>
      </w:pPr>
    </w:p>
    <w:p w14:paraId="7DB20EC1" w14:textId="77777777" w:rsidR="00FE7E67" w:rsidRDefault="00FE7E67"/>
    <w:p w14:paraId="524B0E4E" w14:textId="77777777" w:rsidR="003841E3" w:rsidRDefault="003841E3"/>
    <w:p w14:paraId="0FD4AEFD" w14:textId="77777777" w:rsidR="003841E3" w:rsidRDefault="003841E3"/>
    <w:p w14:paraId="44FD061A" w14:textId="77777777" w:rsidR="003841E3" w:rsidRDefault="003841E3"/>
    <w:p w14:paraId="5E0961EA" w14:textId="77777777" w:rsidR="003841E3" w:rsidRDefault="003841E3"/>
    <w:p w14:paraId="3C989B7C" w14:textId="77777777" w:rsidR="003841E3" w:rsidRDefault="003841E3"/>
    <w:p w14:paraId="7FC4A673" w14:textId="77777777" w:rsidR="003841E3" w:rsidRDefault="003841E3"/>
    <w:p w14:paraId="49D90B78" w14:textId="77777777" w:rsidR="003841E3" w:rsidRDefault="003841E3"/>
    <w:p w14:paraId="74DC6A7D" w14:textId="77777777" w:rsidR="003841E3" w:rsidRDefault="003841E3"/>
    <w:p w14:paraId="39014CEC" w14:textId="77777777" w:rsidR="003841E3" w:rsidRDefault="003841E3"/>
    <w:p w14:paraId="0FA697EE" w14:textId="77777777" w:rsidR="003841E3" w:rsidRDefault="003841E3"/>
    <w:p w14:paraId="1B1D0940" w14:textId="77777777" w:rsidR="003841E3" w:rsidRDefault="003841E3"/>
    <w:p w14:paraId="35353BA3" w14:textId="77777777" w:rsidR="003841E3" w:rsidRDefault="003841E3"/>
    <w:p w14:paraId="1439B9E8" w14:textId="77777777" w:rsidR="003841E3" w:rsidRDefault="003841E3"/>
    <w:p w14:paraId="0BDFACD3" w14:textId="77777777" w:rsidR="003841E3" w:rsidRDefault="003841E3"/>
    <w:p w14:paraId="15F012E1" w14:textId="77777777" w:rsidR="00BC04D8" w:rsidRDefault="00BC04D8"/>
    <w:p w14:paraId="51E9BFC6" w14:textId="77777777" w:rsidR="003841E3" w:rsidRDefault="003841E3"/>
    <w:p w14:paraId="2F2F04DB" w14:textId="01F33B76" w:rsidR="003841E3" w:rsidRDefault="001C3809" w:rsidP="001C3809">
      <w:pPr>
        <w:spacing w:before="120" w:after="120" w:line="240" w:lineRule="atLeast"/>
        <w:rPr>
          <w:rFonts w:ascii="Microsoft YaHei" w:eastAsia="Microsoft YaHei" w:hAnsi="Microsoft YaHei" w:cs="Microsoft YaHei"/>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6</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C2FAB81" w14:textId="77777777" w:rsidR="00BC04D8" w:rsidRPr="00E3305A" w:rsidRDefault="00BC04D8" w:rsidP="00BC04D8">
      <w:pPr>
        <w:rPr>
          <w:rFonts w:ascii="Arial" w:hAnsi="Arial" w:cs="Arial"/>
          <w:b/>
          <w:bCs/>
          <w:color w:val="808080"/>
          <w:sz w:val="20"/>
          <w:szCs w:val="20"/>
        </w:rPr>
      </w:pPr>
      <w:r w:rsidRPr="00E3305A">
        <w:rPr>
          <w:rFonts w:ascii="Arial" w:hAnsi="Arial" w:cs="Arial"/>
          <w:b/>
          <w:bCs/>
          <w:color w:val="808080"/>
          <w:sz w:val="20"/>
          <w:szCs w:val="20"/>
        </w:rPr>
        <w:t>Error en los filtros de Independencia aplicados accionistas</w:t>
      </w:r>
    </w:p>
    <w:p w14:paraId="5BD35006" w14:textId="77777777" w:rsidR="00BC04D8" w:rsidRPr="00385F44"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En relación con la selección de compañías comparables, se ha observado que el filtro de independencia accionarial aplicado en la búsqueda se limita a excluir aquellas entidades con accionistas que posean participaciones directas o indirectas iguales o superiores al 25 % (</w:t>
      </w:r>
      <w:r w:rsidRPr="00385F44">
        <w:rPr>
          <w:rFonts w:ascii="Arial" w:hAnsi="Arial" w:cs="Arial"/>
          <w:i/>
          <w:iCs/>
          <w:color w:val="808080"/>
          <w:sz w:val="20"/>
          <w:szCs w:val="20"/>
        </w:rPr>
        <w:t>criterio de accionistas</w:t>
      </w:r>
      <w:r w:rsidRPr="00385F44">
        <w:rPr>
          <w:rFonts w:ascii="Arial" w:hAnsi="Arial" w:cs="Arial"/>
          <w:color w:val="808080"/>
          <w:sz w:val="20"/>
          <w:szCs w:val="20"/>
        </w:rPr>
        <w:t>).</w:t>
      </w:r>
    </w:p>
    <w:p w14:paraId="54B1E00D" w14:textId="77777777" w:rsidR="00BC04D8" w:rsidRPr="00385F44"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No obstante, conforme a lo dispuesto en el artículo 18 de la Ley 27/2014, del Impuesto sobre Sociedades (LIS), y en su normativa de desarrollo, resulta igualmente necesario verificar la existencia de participaciones significativas mantenidas por las propias compañías comparables en otras entidades (</w:t>
      </w:r>
      <w:r w:rsidRPr="00385F44">
        <w:rPr>
          <w:rFonts w:ascii="Arial" w:hAnsi="Arial" w:cs="Arial"/>
          <w:i/>
          <w:iCs/>
          <w:color w:val="808080"/>
          <w:sz w:val="20"/>
          <w:szCs w:val="20"/>
        </w:rPr>
        <w:t>criterio de filiales</w:t>
      </w:r>
      <w:r w:rsidRPr="00385F44">
        <w:rPr>
          <w:rFonts w:ascii="Arial" w:hAnsi="Arial" w:cs="Arial"/>
          <w:color w:val="808080"/>
          <w:sz w:val="20"/>
          <w:szCs w:val="20"/>
        </w:rPr>
        <w:t>), a fin de garantizar que las empresas seleccionadas sean plenamente independientes tanto en su estructura de propiedad como en su control efectivo.</w:t>
      </w:r>
    </w:p>
    <w:p w14:paraId="46ED45D0" w14:textId="77777777" w:rsidR="00BC04D8" w:rsidRPr="00385F44"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 xml:space="preserve">En este sentido, la Administración Tributaria española podría cuestionar la idoneidad de las comparables incluidas en el </w:t>
      </w:r>
      <w:r w:rsidRPr="00385F44">
        <w:rPr>
          <w:rFonts w:ascii="Arial" w:hAnsi="Arial" w:cs="Arial"/>
          <w:i/>
          <w:iCs/>
          <w:color w:val="808080"/>
          <w:sz w:val="20"/>
          <w:szCs w:val="20"/>
        </w:rPr>
        <w:t>benchmarking</w:t>
      </w:r>
      <w:r w:rsidRPr="00385F44">
        <w:rPr>
          <w:rFonts w:ascii="Arial" w:hAnsi="Arial" w:cs="Arial"/>
          <w:color w:val="808080"/>
          <w:sz w:val="20"/>
          <w:szCs w:val="20"/>
        </w:rPr>
        <w:t xml:space="preserve"> si no se acredita el cumplimiento de los requisitos de independencia establecidos en la normativa vigente.</w:t>
      </w:r>
    </w:p>
    <w:p w14:paraId="34AC2C63" w14:textId="6A4D2F14" w:rsidR="00BC04D8" w:rsidRPr="00BC04D8"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Por tanto, se recomienda realizar un análisis adicional de los vínculos accionariales y de control de las empresas seleccionadas, identificando y, en su caso, descartando aquellas que mantengan participaciones relevantes (≥ 25 %) en otras sociedades, a fin de reforzar la fiabilidad del análisis de comparabilidad y asegurar la consistencia con el principio de plena competencia.</w:t>
      </w:r>
    </w:p>
    <w:p w14:paraId="571A0D2B" w14:textId="172C6F2A"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6</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065D704E" w14:textId="77777777" w:rsidR="003841E3" w:rsidRDefault="003841E3"/>
    <w:p w14:paraId="4A09F56D" w14:textId="77777777" w:rsidR="003841E3" w:rsidRDefault="003841E3"/>
    <w:p w14:paraId="12AE6FFB" w14:textId="77777777" w:rsidR="003841E3" w:rsidRDefault="003841E3"/>
    <w:p w14:paraId="38A856E5" w14:textId="77777777" w:rsidR="003841E3" w:rsidRDefault="003841E3"/>
    <w:p w14:paraId="6775FE02" w14:textId="77777777" w:rsidR="003841E3" w:rsidRDefault="003841E3"/>
    <w:p w14:paraId="423E08B8" w14:textId="77777777" w:rsidR="003841E3" w:rsidRDefault="003841E3"/>
    <w:p w14:paraId="4043C632" w14:textId="77777777" w:rsidR="003841E3" w:rsidRDefault="003841E3"/>
    <w:p w14:paraId="2BD78937" w14:textId="77777777" w:rsidR="003841E3" w:rsidRDefault="003841E3"/>
    <w:p w14:paraId="52104178" w14:textId="77777777" w:rsidR="003841E3" w:rsidRDefault="003841E3"/>
    <w:p w14:paraId="78C865CF" w14:textId="77777777" w:rsidR="003841E3" w:rsidRDefault="003841E3"/>
    <w:p w14:paraId="252DC5B0" w14:textId="77777777" w:rsidR="003841E3" w:rsidRDefault="003841E3"/>
    <w:p w14:paraId="3E304945" w14:textId="77777777" w:rsidR="003841E3" w:rsidRDefault="003841E3"/>
    <w:p w14:paraId="56592221" w14:textId="77777777" w:rsidR="003841E3" w:rsidRDefault="003841E3"/>
    <w:p w14:paraId="10D779C8" w14:textId="77777777" w:rsidR="003841E3" w:rsidRDefault="003841E3"/>
    <w:p w14:paraId="62C5D0B9" w14:textId="77777777" w:rsidR="003841E3" w:rsidRDefault="003841E3"/>
    <w:p w14:paraId="46C0720E" w14:textId="77777777" w:rsidR="003841E3" w:rsidRDefault="003841E3"/>
    <w:p w14:paraId="1FF54AA0" w14:textId="77777777" w:rsidR="003841E3" w:rsidRDefault="003841E3"/>
    <w:p w14:paraId="4F15D057" w14:textId="13B629AE" w:rsidR="003841E3"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7</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3C247005" w14:textId="77777777" w:rsidR="00F721BB" w:rsidRPr="00E72947" w:rsidRDefault="00F721BB" w:rsidP="00F721BB">
      <w:pPr>
        <w:spacing w:before="120" w:after="120" w:line="240" w:lineRule="atLeast"/>
        <w:rPr>
          <w:rFonts w:ascii="Arial" w:hAnsi="Arial" w:cs="Arial"/>
          <w:b/>
          <w:bCs/>
          <w:color w:val="808080"/>
          <w:sz w:val="20"/>
          <w:szCs w:val="20"/>
        </w:rPr>
      </w:pPr>
      <w:r w:rsidRPr="00E72947">
        <w:rPr>
          <w:rFonts w:ascii="Arial" w:hAnsi="Arial" w:cs="Arial"/>
          <w:b/>
          <w:bCs/>
          <w:color w:val="808080"/>
          <w:sz w:val="20"/>
          <w:szCs w:val="20"/>
        </w:rPr>
        <w:t>Información financiera de comparables no actualizada</w:t>
      </w:r>
    </w:p>
    <w:p w14:paraId="5CEA4C80" w14:textId="77777777" w:rsidR="00F721BB" w:rsidRPr="00E72947" w:rsidRDefault="00F721BB" w:rsidP="00F721BB">
      <w:pPr>
        <w:spacing w:before="120" w:after="120" w:line="240" w:lineRule="atLeast"/>
        <w:jc w:val="both"/>
        <w:rPr>
          <w:rFonts w:ascii="Arial" w:hAnsi="Arial" w:cs="Arial"/>
          <w:color w:val="808080"/>
          <w:sz w:val="20"/>
          <w:szCs w:val="20"/>
        </w:rPr>
      </w:pPr>
      <w:r w:rsidRPr="00E72947">
        <w:rPr>
          <w:rFonts w:ascii="Arial" w:hAnsi="Arial" w:cs="Arial"/>
          <w:color w:val="808080"/>
          <w:sz w:val="20"/>
          <w:szCs w:val="20"/>
        </w:rPr>
        <w:t>Se ha identificado que la información financiera de las compañías independientes seleccionadas como comparables en los análisis económicos incluidos en la Documentación no se encuentra actualizada para el ejercicio 20XX (período 20XX-20XX). En consecuencia, el rango de mercado actualmente reflejado corresponde al ejercicio anterior, y no al ejercicio objeto de análisis.</w:t>
      </w:r>
    </w:p>
    <w:p w14:paraId="2385BECA" w14:textId="77777777" w:rsidR="00F721BB" w:rsidRPr="00E72947" w:rsidRDefault="00F721BB" w:rsidP="00F721BB">
      <w:pPr>
        <w:spacing w:before="120" w:after="120" w:line="240" w:lineRule="atLeast"/>
        <w:jc w:val="both"/>
        <w:rPr>
          <w:rFonts w:ascii="Arial" w:hAnsi="Arial" w:cs="Arial"/>
          <w:color w:val="808080"/>
          <w:sz w:val="20"/>
          <w:szCs w:val="20"/>
        </w:rPr>
      </w:pPr>
      <w:r w:rsidRPr="00E72947">
        <w:rPr>
          <w:rFonts w:ascii="Arial" w:hAnsi="Arial" w:cs="Arial"/>
          <w:color w:val="808080"/>
          <w:sz w:val="20"/>
          <w:szCs w:val="20"/>
        </w:rPr>
        <w:t>De conformidad con las Directrices OCDE 2022 en materia de precios de transferencia (Capítulo V, párr. 5.38), la búsqueda de comparables en bases de datos puede revisarse cada tres años siempre que las condiciones operativas no varíen; no obstante, la información financiera de los comparables debe actualizarse anualmente, a fin de garantizar la aplicación fiable del principio de plena competencia.</w:t>
      </w:r>
    </w:p>
    <w:p w14:paraId="5CF521A0" w14:textId="77777777" w:rsidR="00F721BB" w:rsidRPr="00E72947" w:rsidRDefault="00F721BB" w:rsidP="00F721BB">
      <w:pPr>
        <w:spacing w:before="120" w:after="120" w:line="240" w:lineRule="atLeast"/>
        <w:jc w:val="both"/>
        <w:rPr>
          <w:rFonts w:ascii="Arial" w:hAnsi="Arial" w:cs="Arial"/>
          <w:color w:val="808080"/>
          <w:sz w:val="20"/>
          <w:szCs w:val="20"/>
        </w:rPr>
      </w:pPr>
      <w:r w:rsidRPr="00E72947">
        <w:rPr>
          <w:rFonts w:ascii="Arial" w:hAnsi="Arial" w:cs="Arial"/>
          <w:color w:val="808080"/>
          <w:sz w:val="20"/>
          <w:szCs w:val="20"/>
        </w:rPr>
        <w:t>En atención a lo anterior, se recomienda actualizar la información financiera de las entidades comparables al ejercicio 20XX y recalcular el rango intercuartílico de mercado correspondiente. Esta actualización permitirá asegurar la validez y consistencia del análisis económico frente a los requisitos del principio de plena competencia y las exigencias formales del artículo 16 del Reglamento del Impuesto sobre Sociedades.</w:t>
      </w:r>
    </w:p>
    <w:p w14:paraId="274877ED" w14:textId="466DD64D"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7</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2E8E6696" w14:textId="77777777" w:rsidR="003841E3" w:rsidRDefault="003841E3"/>
    <w:p w14:paraId="67DF5648" w14:textId="77777777" w:rsidR="00F721BB" w:rsidRDefault="00F721BB"/>
    <w:p w14:paraId="1182F1EA" w14:textId="77777777" w:rsidR="00F721BB" w:rsidRDefault="00F721BB"/>
    <w:p w14:paraId="4C95DBFF" w14:textId="77777777" w:rsidR="00F721BB" w:rsidRDefault="00F721BB"/>
    <w:p w14:paraId="399AA60C" w14:textId="77777777" w:rsidR="00F721BB" w:rsidRDefault="00F721BB"/>
    <w:p w14:paraId="5A30BACA" w14:textId="77777777" w:rsidR="00F721BB" w:rsidRDefault="00F721BB"/>
    <w:p w14:paraId="7049A53D" w14:textId="77777777" w:rsidR="00F721BB" w:rsidRDefault="00F721BB"/>
    <w:p w14:paraId="5C8C4047" w14:textId="77777777" w:rsidR="00F721BB" w:rsidRDefault="00F721BB"/>
    <w:p w14:paraId="63E4A9AB" w14:textId="77777777" w:rsidR="00F721BB" w:rsidRDefault="00F721BB"/>
    <w:p w14:paraId="08C7C2FE" w14:textId="77777777" w:rsidR="00F721BB" w:rsidRDefault="00F721BB"/>
    <w:p w14:paraId="250204E1" w14:textId="77777777" w:rsidR="00F721BB" w:rsidRDefault="00F721BB"/>
    <w:p w14:paraId="66FE0B68" w14:textId="77777777" w:rsidR="00F721BB" w:rsidRDefault="00F721BB"/>
    <w:p w14:paraId="53201B07" w14:textId="77777777" w:rsidR="00F721BB" w:rsidRDefault="00F721BB"/>
    <w:p w14:paraId="1F44A1B0" w14:textId="77777777" w:rsidR="00F721BB" w:rsidRDefault="00F721BB"/>
    <w:p w14:paraId="1B67499D" w14:textId="77777777" w:rsidR="00F721BB" w:rsidRDefault="00F721BB"/>
    <w:p w14:paraId="16C2B528" w14:textId="77777777" w:rsidR="00F721BB" w:rsidRDefault="00F721BB"/>
    <w:p w14:paraId="63938511" w14:textId="77777777" w:rsidR="00F721BB" w:rsidRDefault="00F721BB"/>
    <w:p w14:paraId="50B13C77" w14:textId="77777777" w:rsidR="00F721BB" w:rsidRDefault="00F721BB"/>
    <w:p w14:paraId="7DE21958" w14:textId="1D514D1E" w:rsidR="00F721BB"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8</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2302E36F" w14:textId="77777777" w:rsidR="00B973D6" w:rsidRPr="002D6779" w:rsidRDefault="00B973D6" w:rsidP="00B973D6">
      <w:pPr>
        <w:spacing w:before="120" w:after="120" w:line="240" w:lineRule="atLeast"/>
        <w:jc w:val="both"/>
        <w:rPr>
          <w:rFonts w:ascii="Arial" w:hAnsi="Arial" w:cs="Arial"/>
          <w:b/>
          <w:bCs/>
          <w:color w:val="808080"/>
          <w:sz w:val="20"/>
          <w:szCs w:val="20"/>
        </w:rPr>
      </w:pPr>
      <w:r w:rsidRPr="002D6779">
        <w:rPr>
          <w:rFonts w:ascii="Arial" w:hAnsi="Arial" w:cs="Arial"/>
          <w:b/>
          <w:bCs/>
          <w:color w:val="808080"/>
          <w:sz w:val="20"/>
          <w:szCs w:val="20"/>
        </w:rPr>
        <w:t>No acceso a la estrategia de búsqueda utilizada</w:t>
      </w:r>
    </w:p>
    <w:p w14:paraId="40DBD963" w14:textId="77777777" w:rsidR="00B973D6"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 xml:space="preserve">No se ha tenido acceso a los apartados o anexos del </w:t>
      </w:r>
      <w:r w:rsidRPr="002D6779">
        <w:rPr>
          <w:rFonts w:ascii="Arial" w:hAnsi="Arial" w:cs="Arial"/>
          <w:i/>
          <w:iCs/>
          <w:color w:val="808080"/>
          <w:sz w:val="20"/>
          <w:szCs w:val="20"/>
        </w:rPr>
        <w:t>Local File</w:t>
      </w:r>
      <w:r w:rsidRPr="002D6779">
        <w:rPr>
          <w:rFonts w:ascii="Arial" w:hAnsi="Arial" w:cs="Arial"/>
          <w:color w:val="808080"/>
          <w:sz w:val="20"/>
          <w:szCs w:val="20"/>
        </w:rPr>
        <w:t xml:space="preserve"> en los que se documenta el proceso de búsqueda y selección de comparables empleados en los análisis económicos relativos a las operativas analizadas.</w:t>
      </w:r>
    </w:p>
    <w:p w14:paraId="4D2F906B" w14:textId="77777777" w:rsidR="00B973D6" w:rsidRPr="002D6779"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En particular, no se dispone de información sobre la estrategia de búsqueda en la base de datos [indicar, si se conoce], ni sobre los criterios de inclusión y exclusión aplicados, ni de la información financiera detallada de las entidades finalmente seleccionadas.</w:t>
      </w:r>
    </w:p>
    <w:p w14:paraId="34C43077" w14:textId="77777777" w:rsidR="00B973D6" w:rsidRPr="002D6779"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En consecuencia, no resulta posible verificar si el procedimiento de búsqueda y selección de comparables se ha llevado a cabo conforme a los requisitos previstos en el artículo 18 de la Ley del Impuesto sobre Sociedades, su normativa de desarrollo (art. 16 RIS), y las Directrices de la OCDE 2022 (Cap. III).</w:t>
      </w:r>
    </w:p>
    <w:p w14:paraId="658405AB" w14:textId="77777777" w:rsidR="00B973D6" w:rsidRPr="002D6779"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Dada la importancia de este elemento en la validación del análisis económico, se recomienda complementar la documentación con una descripción exhaustiva del proceso de búsqueda y los criterios aplicados, así como con la información financiera de las empresas comparables seleccionadas, a fin de garantizar la trazabilidad y reproducibilidad del análisis y reforzar la defensa del principio de plena competencia ante una eventual comprobación tributaria.</w:t>
      </w:r>
    </w:p>
    <w:p w14:paraId="3905A811" w14:textId="7F51A70E"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8</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3DD75B95" w14:textId="77777777" w:rsidR="00F721BB" w:rsidRDefault="00F721BB"/>
    <w:p w14:paraId="5215F0A3" w14:textId="77777777" w:rsidR="0062668F" w:rsidRDefault="0062668F"/>
    <w:p w14:paraId="36F47598" w14:textId="77777777" w:rsidR="0062668F" w:rsidRDefault="0062668F"/>
    <w:p w14:paraId="29B0A839" w14:textId="77777777" w:rsidR="0062668F" w:rsidRDefault="0062668F"/>
    <w:p w14:paraId="19A42046" w14:textId="77777777" w:rsidR="0062668F" w:rsidRDefault="0062668F"/>
    <w:p w14:paraId="12E292D1" w14:textId="77777777" w:rsidR="0062668F" w:rsidRDefault="0062668F"/>
    <w:p w14:paraId="0B0AEE25" w14:textId="77777777" w:rsidR="0062668F" w:rsidRDefault="0062668F"/>
    <w:p w14:paraId="759469F0" w14:textId="77777777" w:rsidR="0062668F" w:rsidRDefault="0062668F"/>
    <w:p w14:paraId="7736E121" w14:textId="77777777" w:rsidR="0062668F" w:rsidRDefault="0062668F"/>
    <w:p w14:paraId="157CB636" w14:textId="77777777" w:rsidR="0062668F" w:rsidRDefault="0062668F"/>
    <w:p w14:paraId="45229735" w14:textId="77777777" w:rsidR="0062668F" w:rsidRDefault="0062668F"/>
    <w:p w14:paraId="01D3FEDC" w14:textId="77777777" w:rsidR="0062668F" w:rsidRDefault="0062668F"/>
    <w:p w14:paraId="381E8FEF" w14:textId="77777777" w:rsidR="0062668F" w:rsidRDefault="0062668F"/>
    <w:p w14:paraId="049BC034" w14:textId="77777777" w:rsidR="0062668F" w:rsidRDefault="0062668F"/>
    <w:p w14:paraId="55EE9D78" w14:textId="77777777" w:rsidR="0062668F" w:rsidRDefault="0062668F"/>
    <w:p w14:paraId="4E1CFAE7" w14:textId="77777777" w:rsidR="0062668F" w:rsidRDefault="0062668F"/>
    <w:p w14:paraId="3828916C" w14:textId="77777777" w:rsidR="0062668F" w:rsidRDefault="0062668F"/>
    <w:p w14:paraId="7CEFF30C" w14:textId="05E4DA4E" w:rsidR="0062668F"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9</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22B57453" w14:textId="77777777" w:rsidR="0062668F" w:rsidRPr="002666DE" w:rsidRDefault="0062668F" w:rsidP="0062668F">
      <w:pPr>
        <w:spacing w:before="120" w:after="120" w:line="240" w:lineRule="atLeast"/>
        <w:jc w:val="both"/>
        <w:rPr>
          <w:rFonts w:ascii="Arial" w:hAnsi="Arial" w:cs="Arial"/>
          <w:b/>
          <w:bCs/>
          <w:color w:val="808080"/>
          <w:sz w:val="20"/>
          <w:szCs w:val="20"/>
        </w:rPr>
      </w:pPr>
      <w:r w:rsidRPr="002666DE">
        <w:rPr>
          <w:rFonts w:ascii="Arial" w:hAnsi="Arial" w:cs="Arial"/>
          <w:b/>
          <w:bCs/>
          <w:color w:val="808080"/>
          <w:sz w:val="20"/>
          <w:szCs w:val="20"/>
        </w:rPr>
        <w:t>No justificación del método seleccionado en la documentación</w:t>
      </w:r>
    </w:p>
    <w:p w14:paraId="263C4D2D"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La documentación de precios de transferencia revisada no incluye una justificación suficiente del método de valoración seleccionado, lo que contraviene lo dispuesto en el artículo 16.1.A.4º del Reglamento del Impuesto sobre Sociedades (Real Decreto 634/2015, de 10 de julio).</w:t>
      </w:r>
    </w:p>
    <w:p w14:paraId="72697396"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Dicho precepto exige que la documentación contenga una explicación relativa a la selección del método de valoración elegido, incluyendo las razones que motivan su elección, su forma de aplicación, los comparables empleados y el valor o rango de valores resultante.</w:t>
      </w:r>
    </w:p>
    <w:p w14:paraId="52844331"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De igual modo, las Directrices de la OCDE 2022 (Capítulo II, párrafos 2.2 a 2.11) establecen que debe aplicarse el método más apropiado en función de las circunstancias, previa comparación razonada de las alternativas disponibles.</w:t>
      </w:r>
    </w:p>
    <w:p w14:paraId="371298D3"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En este contexto, se recomienda complementar la documentación con una descripción clara y estructurada de:</w:t>
      </w:r>
    </w:p>
    <w:p w14:paraId="5F7DB150" w14:textId="77777777" w:rsidR="0062668F" w:rsidRPr="002666DE" w:rsidRDefault="0062668F" w:rsidP="0062668F">
      <w:pPr>
        <w:numPr>
          <w:ilvl w:val="0"/>
          <w:numId w:val="4"/>
        </w:num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Los métodos de valoración considerados y los motivos de aceptación o rechazo de cada uno.</w:t>
      </w:r>
    </w:p>
    <w:p w14:paraId="74084205" w14:textId="77777777" w:rsidR="0062668F" w:rsidRPr="002666DE" w:rsidRDefault="0062668F" w:rsidP="0062668F">
      <w:pPr>
        <w:numPr>
          <w:ilvl w:val="0"/>
          <w:numId w:val="4"/>
        </w:num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Los criterios que justifican la selección final del método adoptado.</w:t>
      </w:r>
    </w:p>
    <w:p w14:paraId="7BD9B299" w14:textId="77777777" w:rsidR="0062668F" w:rsidRPr="002666DE" w:rsidRDefault="0062668F" w:rsidP="0062668F">
      <w:pPr>
        <w:numPr>
          <w:ilvl w:val="0"/>
          <w:numId w:val="4"/>
        </w:num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La forma concreta de aplicación, fuentes de información, comparables y resultados obtenidos.</w:t>
      </w:r>
    </w:p>
    <w:p w14:paraId="69A5904A"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Esta ampliación permitirá reforzar la solidez técnica y la trazabilidad de la política de precios de transferencia, reduciendo el riesgo de cuestionamiento por parte de la Administración Tributaria en una eventual comprobación.</w:t>
      </w:r>
    </w:p>
    <w:p w14:paraId="14288E51" w14:textId="4EB9CE75"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9</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2BCE418C" w14:textId="77777777" w:rsidR="0062668F" w:rsidRDefault="0062668F"/>
    <w:p w14:paraId="1C7CA40F" w14:textId="77777777" w:rsidR="005B0842" w:rsidRDefault="005B0842"/>
    <w:p w14:paraId="6B3AED10" w14:textId="77777777" w:rsidR="005B0842" w:rsidRDefault="005B0842"/>
    <w:p w14:paraId="3B716BF2" w14:textId="77777777" w:rsidR="005B0842" w:rsidRDefault="005B0842"/>
    <w:p w14:paraId="02A631F0" w14:textId="77777777" w:rsidR="005B0842" w:rsidRDefault="005B0842"/>
    <w:p w14:paraId="0952369A" w14:textId="77777777" w:rsidR="005B0842" w:rsidRDefault="005B0842"/>
    <w:p w14:paraId="1427B0E0" w14:textId="77777777" w:rsidR="005B0842" w:rsidRDefault="005B0842"/>
    <w:p w14:paraId="49EB1855" w14:textId="77777777" w:rsidR="005B0842" w:rsidRDefault="005B0842"/>
    <w:p w14:paraId="4170413E" w14:textId="77777777" w:rsidR="005B0842" w:rsidRDefault="005B0842"/>
    <w:p w14:paraId="792B3AA6" w14:textId="77777777" w:rsidR="005B0842" w:rsidRDefault="005B0842"/>
    <w:p w14:paraId="667B5E49" w14:textId="77777777" w:rsidR="005B0842" w:rsidRDefault="005B0842"/>
    <w:p w14:paraId="2CBDB464" w14:textId="77777777" w:rsidR="005B0842" w:rsidRDefault="005B0842"/>
    <w:p w14:paraId="0E32532C" w14:textId="77777777" w:rsidR="005B0842" w:rsidRDefault="005B0842"/>
    <w:p w14:paraId="1423036E" w14:textId="77777777" w:rsidR="005B0842" w:rsidRDefault="005B0842"/>
    <w:p w14:paraId="2EDC0E91" w14:textId="25FBE167" w:rsidR="005B0842"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10</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DB37E6C" w14:textId="77777777" w:rsidR="005B0842" w:rsidRPr="00374944" w:rsidRDefault="005B0842" w:rsidP="005B0842">
      <w:pPr>
        <w:spacing w:before="120" w:after="120" w:line="240" w:lineRule="atLeast"/>
        <w:rPr>
          <w:rFonts w:ascii="Arial" w:hAnsi="Arial" w:cs="Arial"/>
          <w:b/>
          <w:bCs/>
          <w:color w:val="808080"/>
          <w:sz w:val="20"/>
          <w:szCs w:val="20"/>
        </w:rPr>
      </w:pPr>
      <w:r w:rsidRPr="00374944">
        <w:rPr>
          <w:rFonts w:ascii="Arial" w:hAnsi="Arial" w:cs="Arial"/>
          <w:b/>
          <w:bCs/>
          <w:color w:val="808080"/>
          <w:sz w:val="20"/>
          <w:szCs w:val="20"/>
        </w:rPr>
        <w:t>Pago de royalty en situación de perdidas</w:t>
      </w:r>
    </w:p>
    <w:p w14:paraId="7A05DF2E"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 xml:space="preserve">De acuerdo con la información contenida en las Cuentas Anuales de los ejercicios 20XX, la Compañía ha efectuado pagos en concepto de </w:t>
      </w:r>
      <w:r w:rsidRPr="00374944">
        <w:rPr>
          <w:rFonts w:ascii="Arial" w:hAnsi="Arial" w:cs="Arial"/>
          <w:i/>
          <w:iCs/>
          <w:color w:val="808080"/>
          <w:sz w:val="20"/>
          <w:szCs w:val="20"/>
        </w:rPr>
        <w:t>royalty</w:t>
      </w:r>
      <w:r w:rsidRPr="00374944">
        <w:rPr>
          <w:rFonts w:ascii="Arial" w:hAnsi="Arial" w:cs="Arial"/>
          <w:color w:val="808080"/>
          <w:sz w:val="20"/>
          <w:szCs w:val="20"/>
        </w:rPr>
        <w:t xml:space="preserve"> a favor de [Entidad receptora], equivalentes al X % sobre su rentabilidad neta antes de impuestos.</w:t>
      </w:r>
    </w:p>
    <w:p w14:paraId="4E4FE1C5"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Sin embargo, dado que durante dichos ejercicios la Compañía ha registrado pérdidas tanto operativas como netas, la Agencia Estatal de Administración Tributaria (AEAT) podría cuestionar la razonabilidad y plena competencia de estos pagos en una eventual inspección.</w:t>
      </w:r>
    </w:p>
    <w:p w14:paraId="6995185B"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 xml:space="preserve">La Administración analiza con especial atención los </w:t>
      </w:r>
      <w:r w:rsidRPr="00374944">
        <w:rPr>
          <w:rFonts w:ascii="Arial" w:hAnsi="Arial" w:cs="Arial"/>
          <w:i/>
          <w:iCs/>
          <w:color w:val="808080"/>
          <w:sz w:val="20"/>
          <w:szCs w:val="20"/>
        </w:rPr>
        <w:t>royalties</w:t>
      </w:r>
      <w:r w:rsidRPr="00374944">
        <w:rPr>
          <w:rFonts w:ascii="Arial" w:hAnsi="Arial" w:cs="Arial"/>
          <w:color w:val="808080"/>
          <w:sz w:val="20"/>
          <w:szCs w:val="20"/>
        </w:rPr>
        <w:t xml:space="preserve"> satisfechos por entidades con resultados negativos, al considerar que una parte independiente no continuaría efectuando pagos por el uso de un intangible si no existiera una expectativa razonable de beneficio futuro derivado de dicho uso </w:t>
      </w:r>
    </w:p>
    <w:p w14:paraId="17D45A71"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En este contexto, se recomienda complementar la Documentación de Precios de Transferencia con:</w:t>
      </w:r>
    </w:p>
    <w:p w14:paraId="489E4C6F" w14:textId="77777777" w:rsidR="005B0842" w:rsidRPr="00374944" w:rsidRDefault="005B0842" w:rsidP="005B0842">
      <w:pPr>
        <w:numPr>
          <w:ilvl w:val="0"/>
          <w:numId w:val="5"/>
        </w:num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Un análisis económico que demuestre que el tipo del X % se encuentra dentro del rango de mercado; y</w:t>
      </w:r>
    </w:p>
    <w:p w14:paraId="7BE71EAE" w14:textId="77777777" w:rsidR="005B0842" w:rsidRPr="00374944" w:rsidRDefault="005B0842" w:rsidP="005B0842">
      <w:pPr>
        <w:numPr>
          <w:ilvl w:val="0"/>
          <w:numId w:val="5"/>
        </w:num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Una justificación técnica y funcional que acredite los beneficios concretos que la Compañía obtiene del uso del [Intangible], incluso en ejercicios con pérdidas (por ejemplo, ventajas tecnológicas, comerciales o reputacionales).</w:t>
      </w:r>
    </w:p>
    <w:p w14:paraId="6C90E9AD"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 xml:space="preserve">Esta documentación reforzará la </w:t>
      </w:r>
      <w:proofErr w:type="spellStart"/>
      <w:r w:rsidRPr="00374944">
        <w:rPr>
          <w:rFonts w:ascii="Arial" w:hAnsi="Arial" w:cs="Arial"/>
          <w:color w:val="808080"/>
          <w:sz w:val="20"/>
          <w:szCs w:val="20"/>
        </w:rPr>
        <w:t>defensibilidad</w:t>
      </w:r>
      <w:proofErr w:type="spellEnd"/>
      <w:r w:rsidRPr="00374944">
        <w:rPr>
          <w:rFonts w:ascii="Arial" w:hAnsi="Arial" w:cs="Arial"/>
          <w:color w:val="808080"/>
          <w:sz w:val="20"/>
          <w:szCs w:val="20"/>
        </w:rPr>
        <w:t xml:space="preserve"> del pago desde la perspectiva del principio de plena competencia y mitigará potenciales ajustes por parte de la Administración Tributaria.</w:t>
      </w:r>
    </w:p>
    <w:p w14:paraId="20788316" w14:textId="4AD24927"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10</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4C9A120E" w14:textId="77777777" w:rsidR="005B0842" w:rsidRDefault="005B0842"/>
    <w:p w14:paraId="49B95884" w14:textId="77777777" w:rsidR="00D546C2" w:rsidRDefault="00D546C2"/>
    <w:p w14:paraId="2F1EEA46" w14:textId="77777777" w:rsidR="00D546C2" w:rsidRDefault="00D546C2"/>
    <w:p w14:paraId="4D089157" w14:textId="77777777" w:rsidR="00D546C2" w:rsidRDefault="00D546C2"/>
    <w:p w14:paraId="4820E10B" w14:textId="77777777" w:rsidR="00D546C2" w:rsidRDefault="00D546C2"/>
    <w:p w14:paraId="5EB6FE36" w14:textId="77777777" w:rsidR="00D546C2" w:rsidRDefault="00D546C2"/>
    <w:p w14:paraId="0ABB46C0" w14:textId="77777777" w:rsidR="00D546C2" w:rsidRDefault="00D546C2"/>
    <w:p w14:paraId="0D4431AF" w14:textId="77777777" w:rsidR="00D546C2" w:rsidRDefault="00D546C2"/>
    <w:p w14:paraId="0F3E0BBD" w14:textId="77777777" w:rsidR="00D546C2" w:rsidRDefault="00D546C2"/>
    <w:p w14:paraId="090C5467" w14:textId="77777777" w:rsidR="00D546C2" w:rsidRDefault="00D546C2"/>
    <w:p w14:paraId="00E09F7B" w14:textId="77777777" w:rsidR="00D546C2" w:rsidRDefault="00D546C2"/>
    <w:p w14:paraId="3BE8FF29" w14:textId="77777777" w:rsidR="00D546C2" w:rsidRDefault="00D546C2"/>
    <w:p w14:paraId="13B6E6CC" w14:textId="77777777" w:rsidR="00D546C2" w:rsidRDefault="00D546C2"/>
    <w:p w14:paraId="09A625DE" w14:textId="77777777" w:rsidR="00D546C2" w:rsidRDefault="00D546C2"/>
    <w:p w14:paraId="6503B167" w14:textId="2E131017" w:rsidR="00D546C2" w:rsidRPr="009B44E7" w:rsidRDefault="009B44E7" w:rsidP="00D546C2">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11</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668160C8" w14:textId="4E1DB709" w:rsidR="00D546C2" w:rsidRPr="007018AF" w:rsidRDefault="00D546C2" w:rsidP="00D546C2">
      <w:pPr>
        <w:spacing w:before="120" w:after="120" w:line="240" w:lineRule="atLeast"/>
        <w:rPr>
          <w:rFonts w:ascii="Arial" w:hAnsi="Arial" w:cs="Arial"/>
          <w:b/>
          <w:bCs/>
          <w:color w:val="808080"/>
          <w:sz w:val="20"/>
          <w:szCs w:val="20"/>
        </w:rPr>
      </w:pPr>
      <w:r w:rsidRPr="007018AF">
        <w:rPr>
          <w:rFonts w:ascii="Arial" w:hAnsi="Arial" w:cs="Arial"/>
          <w:b/>
          <w:bCs/>
          <w:color w:val="808080"/>
          <w:sz w:val="20"/>
          <w:szCs w:val="20"/>
        </w:rPr>
        <w:t>PLI incorrecto o mal aplicado</w:t>
      </w:r>
    </w:p>
    <w:p w14:paraId="0C6ACFB9"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 xml:space="preserve">En el </w:t>
      </w:r>
      <w:r w:rsidRPr="007018AF">
        <w:rPr>
          <w:rFonts w:ascii="Arial" w:hAnsi="Arial" w:cs="Arial"/>
          <w:i/>
          <w:iCs/>
          <w:color w:val="808080"/>
          <w:sz w:val="20"/>
          <w:szCs w:val="20"/>
        </w:rPr>
        <w:t>Local File</w:t>
      </w:r>
      <w:r w:rsidRPr="007018AF">
        <w:rPr>
          <w:rFonts w:ascii="Arial" w:hAnsi="Arial" w:cs="Arial"/>
          <w:color w:val="808080"/>
          <w:sz w:val="20"/>
          <w:szCs w:val="20"/>
        </w:rPr>
        <w:t xml:space="preserve"> se ha observado que el indicador de nivel de beneficio (Profit Level </w:t>
      </w:r>
      <w:proofErr w:type="spellStart"/>
      <w:r w:rsidRPr="007018AF">
        <w:rPr>
          <w:rFonts w:ascii="Arial" w:hAnsi="Arial" w:cs="Arial"/>
          <w:color w:val="808080"/>
          <w:sz w:val="20"/>
          <w:szCs w:val="20"/>
        </w:rPr>
        <w:t>Indicator</w:t>
      </w:r>
      <w:proofErr w:type="spellEnd"/>
      <w:r w:rsidRPr="007018AF">
        <w:rPr>
          <w:rFonts w:ascii="Arial" w:hAnsi="Arial" w:cs="Arial"/>
          <w:color w:val="808080"/>
          <w:sz w:val="20"/>
          <w:szCs w:val="20"/>
        </w:rPr>
        <w:t>, PLI) utilizado en los análisis económicos podría no reflejar adecuadamente la estructura funcional y de riesgos de la Compañía.</w:t>
      </w:r>
    </w:p>
    <w:p w14:paraId="78AF915E"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La muestra de comparables está integrada principalmente por entidades clasificadas bajo los códigos [CNAE 2009 / NACE Rev. 2], correspondientes a actividades de [fabricación/distribución], mientras que la Compañía desarrolla una actividad de naturaleza [fabricadora/distribuidora], lo que hace especialmente relevante la selección correcta del PLI para garantizar la consistencia del análisis.</w:t>
      </w:r>
    </w:p>
    <w:p w14:paraId="0268C6F4"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 xml:space="preserve">Según las Directrices de la OCDE 2022 (Capítulo II, párrafo 2.64), el PLI debe seleccionarse en función de las características de la transacción y las funciones desempeñadas. Así, para actividades de fabricación suele ser más adecuado un indicador basado en los costes (por ejemplo, </w:t>
      </w:r>
      <w:proofErr w:type="spellStart"/>
      <w:r w:rsidRPr="007018AF">
        <w:rPr>
          <w:rFonts w:ascii="Arial" w:hAnsi="Arial" w:cs="Arial"/>
          <w:i/>
          <w:iCs/>
          <w:color w:val="808080"/>
          <w:sz w:val="20"/>
          <w:szCs w:val="20"/>
        </w:rPr>
        <w:t>Return</w:t>
      </w:r>
      <w:proofErr w:type="spellEnd"/>
      <w:r w:rsidRPr="007018AF">
        <w:rPr>
          <w:rFonts w:ascii="Arial" w:hAnsi="Arial" w:cs="Arial"/>
          <w:i/>
          <w:iCs/>
          <w:color w:val="808080"/>
          <w:sz w:val="20"/>
          <w:szCs w:val="20"/>
        </w:rPr>
        <w:t xml:space="preserve"> </w:t>
      </w:r>
      <w:proofErr w:type="spellStart"/>
      <w:r w:rsidRPr="007018AF">
        <w:rPr>
          <w:rFonts w:ascii="Arial" w:hAnsi="Arial" w:cs="Arial"/>
          <w:i/>
          <w:iCs/>
          <w:color w:val="808080"/>
          <w:sz w:val="20"/>
          <w:szCs w:val="20"/>
        </w:rPr>
        <w:t>on</w:t>
      </w:r>
      <w:proofErr w:type="spellEnd"/>
      <w:r w:rsidRPr="007018AF">
        <w:rPr>
          <w:rFonts w:ascii="Arial" w:hAnsi="Arial" w:cs="Arial"/>
          <w:i/>
          <w:iCs/>
          <w:color w:val="808080"/>
          <w:sz w:val="20"/>
          <w:szCs w:val="20"/>
        </w:rPr>
        <w:t xml:space="preserve"> Total </w:t>
      </w:r>
      <w:proofErr w:type="spellStart"/>
      <w:r w:rsidRPr="007018AF">
        <w:rPr>
          <w:rFonts w:ascii="Arial" w:hAnsi="Arial" w:cs="Arial"/>
          <w:i/>
          <w:iCs/>
          <w:color w:val="808080"/>
          <w:sz w:val="20"/>
          <w:szCs w:val="20"/>
        </w:rPr>
        <w:t>Costs</w:t>
      </w:r>
      <w:proofErr w:type="spellEnd"/>
      <w:r w:rsidRPr="007018AF">
        <w:rPr>
          <w:rFonts w:ascii="Arial" w:hAnsi="Arial" w:cs="Arial"/>
          <w:color w:val="808080"/>
          <w:sz w:val="20"/>
          <w:szCs w:val="20"/>
        </w:rPr>
        <w:t xml:space="preserve"> o </w:t>
      </w:r>
      <w:r w:rsidRPr="007018AF">
        <w:rPr>
          <w:rFonts w:ascii="Arial" w:hAnsi="Arial" w:cs="Arial"/>
          <w:i/>
          <w:iCs/>
          <w:color w:val="808080"/>
          <w:sz w:val="20"/>
          <w:szCs w:val="20"/>
        </w:rPr>
        <w:t>Full Cost Mark-up</w:t>
      </w:r>
      <w:r w:rsidRPr="007018AF">
        <w:rPr>
          <w:rFonts w:ascii="Arial" w:hAnsi="Arial" w:cs="Arial"/>
          <w:color w:val="808080"/>
          <w:sz w:val="20"/>
          <w:szCs w:val="20"/>
        </w:rPr>
        <w:t xml:space="preserve">), mientras que para actividades de distribución resulta más apropiado un indicador basado en las ventas (por ejemplo, </w:t>
      </w:r>
      <w:proofErr w:type="spellStart"/>
      <w:r w:rsidRPr="007018AF">
        <w:rPr>
          <w:rFonts w:ascii="Arial" w:hAnsi="Arial" w:cs="Arial"/>
          <w:i/>
          <w:iCs/>
          <w:color w:val="808080"/>
          <w:sz w:val="20"/>
          <w:szCs w:val="20"/>
        </w:rPr>
        <w:t>Return</w:t>
      </w:r>
      <w:proofErr w:type="spellEnd"/>
      <w:r w:rsidRPr="007018AF">
        <w:rPr>
          <w:rFonts w:ascii="Arial" w:hAnsi="Arial" w:cs="Arial"/>
          <w:i/>
          <w:iCs/>
          <w:color w:val="808080"/>
          <w:sz w:val="20"/>
          <w:szCs w:val="20"/>
        </w:rPr>
        <w:t xml:space="preserve"> </w:t>
      </w:r>
      <w:proofErr w:type="spellStart"/>
      <w:r w:rsidRPr="007018AF">
        <w:rPr>
          <w:rFonts w:ascii="Arial" w:hAnsi="Arial" w:cs="Arial"/>
          <w:i/>
          <w:iCs/>
          <w:color w:val="808080"/>
          <w:sz w:val="20"/>
          <w:szCs w:val="20"/>
        </w:rPr>
        <w:t>on</w:t>
      </w:r>
      <w:proofErr w:type="spellEnd"/>
      <w:r w:rsidRPr="007018AF">
        <w:rPr>
          <w:rFonts w:ascii="Arial" w:hAnsi="Arial" w:cs="Arial"/>
          <w:i/>
          <w:iCs/>
          <w:color w:val="808080"/>
          <w:sz w:val="20"/>
          <w:szCs w:val="20"/>
        </w:rPr>
        <w:t xml:space="preserve"> Sales</w:t>
      </w:r>
      <w:r w:rsidRPr="007018AF">
        <w:rPr>
          <w:rFonts w:ascii="Arial" w:hAnsi="Arial" w:cs="Arial"/>
          <w:color w:val="808080"/>
          <w:sz w:val="20"/>
          <w:szCs w:val="20"/>
        </w:rPr>
        <w:t>).</w:t>
      </w:r>
    </w:p>
    <w:p w14:paraId="08A51F3D"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En este caso, la aplicación del [PLI utilizado] no parece reflejar con precisión la forma en que la entidad crea valor, lo que podría dar lugar a un cuestionamiento metodológico en caso de inspección, con la eventual sustitución del indicador por otro más coherente con las funciones desempeñadas.</w:t>
      </w:r>
    </w:p>
    <w:p w14:paraId="41AC1B2A"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Por todo ello, se recomienda revisar la idoneidad del PLI seleccionado, asegurando que:</w:t>
      </w:r>
    </w:p>
    <w:p w14:paraId="029AE6FB" w14:textId="77777777" w:rsidR="00D546C2" w:rsidRPr="007018AF" w:rsidRDefault="00D546C2" w:rsidP="00D546C2">
      <w:pPr>
        <w:numPr>
          <w:ilvl w:val="0"/>
          <w:numId w:val="6"/>
        </w:num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Sea consistente con el perfil funcional y de riesgo de la Compañía.</w:t>
      </w:r>
    </w:p>
    <w:p w14:paraId="0B9BCF61" w14:textId="77777777" w:rsidR="00D546C2" w:rsidRPr="007018AF" w:rsidRDefault="00D546C2" w:rsidP="00D546C2">
      <w:pPr>
        <w:numPr>
          <w:ilvl w:val="0"/>
          <w:numId w:val="6"/>
        </w:num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Guarde coherencia con los comparables seleccionados.</w:t>
      </w:r>
    </w:p>
    <w:p w14:paraId="736F6573" w14:textId="77777777" w:rsidR="00D546C2" w:rsidRPr="007018AF" w:rsidRDefault="00D546C2" w:rsidP="00D546C2">
      <w:pPr>
        <w:numPr>
          <w:ilvl w:val="0"/>
          <w:numId w:val="6"/>
        </w:num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Se documente expresamente la justificación económica y técnica de su elección, conforme a lo previsto en el artículo 16 RIS y las Directrices OCDE 2022.</w:t>
      </w:r>
    </w:p>
    <w:p w14:paraId="1393D9DE"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Esta revisión reforzará la solidez metodológica del análisis económico y reducirá el riesgo de ajustes por discrepancias en la elección del indicador de rentabilidad.</w:t>
      </w:r>
    </w:p>
    <w:p w14:paraId="6269F505" w14:textId="06C57BA1"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11</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9FC481B" w14:textId="77777777" w:rsidR="00D546C2" w:rsidRDefault="00D546C2"/>
    <w:p w14:paraId="6041CE20" w14:textId="77777777" w:rsidR="00A36A81" w:rsidRDefault="00A36A81"/>
    <w:p w14:paraId="6BDA1DFA" w14:textId="77777777" w:rsidR="00A36A81" w:rsidRDefault="00A36A81"/>
    <w:p w14:paraId="4DA09296" w14:textId="77777777" w:rsidR="00A36A81" w:rsidRDefault="00A36A81"/>
    <w:p w14:paraId="2257D3A6" w14:textId="77777777" w:rsidR="00A36A81" w:rsidRDefault="00A36A81"/>
    <w:p w14:paraId="47BAACAE" w14:textId="77777777" w:rsidR="00A36A81" w:rsidRDefault="00A36A81"/>
    <w:p w14:paraId="35DF8A0B" w14:textId="77777777" w:rsidR="00A36A81" w:rsidRDefault="00A36A81"/>
    <w:p w14:paraId="5EF5DFD7" w14:textId="77777777" w:rsidR="00A36A81" w:rsidRDefault="00A36A81"/>
    <w:p w14:paraId="214C7383" w14:textId="77777777" w:rsidR="00A36A81" w:rsidRDefault="00A36A81"/>
    <w:p w14:paraId="25006DDC" w14:textId="77777777" w:rsidR="00A36A81" w:rsidRDefault="00A36A81"/>
    <w:p w14:paraId="33D652A5" w14:textId="77777777" w:rsidR="00A36A81" w:rsidRDefault="00A36A81"/>
    <w:p w14:paraId="74488C99" w14:textId="502B9620" w:rsidR="009B44E7" w:rsidRDefault="009B44E7" w:rsidP="00A36A81">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12</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B6BEF62" w14:textId="1309A696" w:rsidR="00A36A81" w:rsidRPr="00316A54" w:rsidRDefault="00A36A81" w:rsidP="00A36A81">
      <w:pPr>
        <w:spacing w:before="120" w:after="120" w:line="240" w:lineRule="atLeast"/>
        <w:rPr>
          <w:rFonts w:ascii="Arial" w:hAnsi="Arial" w:cs="Arial"/>
          <w:b/>
          <w:bCs/>
          <w:color w:val="808080"/>
          <w:sz w:val="20"/>
          <w:szCs w:val="20"/>
        </w:rPr>
      </w:pPr>
      <w:r w:rsidRPr="00316A54">
        <w:rPr>
          <w:rFonts w:ascii="Arial" w:hAnsi="Arial" w:cs="Arial"/>
          <w:b/>
          <w:bCs/>
          <w:color w:val="808080"/>
          <w:sz w:val="20"/>
          <w:szCs w:val="20"/>
        </w:rPr>
        <w:t>Preparación de la documentación de manera contemporánea</w:t>
      </w:r>
    </w:p>
    <w:p w14:paraId="06CB5E3E"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De conformidad con lo dispuesto en el artículo 13.2.b) del Reglamento del Impuesto sobre Sociedades (RIS), la documentación de precios de transferencia debe estar a disposición de la Administración tributaria a partir de la finalización del plazo voluntario de declaración del Impuesto sobre Sociedades.</w:t>
      </w:r>
    </w:p>
    <w:p w14:paraId="42EB299E"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En consecuencia, el Local File de la Compañía correspondiente al ejercicio 202X debería haber estado preparado y disponible para la Agencia Estatal de Administración Tributaria (AEAT) desde el 25 de julio de 202X.</w:t>
      </w:r>
    </w:p>
    <w:p w14:paraId="52A87BF9"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Asimismo, el Tribunal Superior de Justicia de Cataluña, en su Sentencia 483/2022, de 11 de febrero, ha destacado la relevancia de que los contribuyentes puedan acreditar que la documentación de precios de transferencia se ha elaborado de forma contemporánea, es decir, dentro del plazo legalmente exigido.</w:t>
      </w:r>
    </w:p>
    <w:p w14:paraId="24A8D6AD"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No obstante, se ha verificado que tanto el Local File como los anexos que contienen los análisis económicos elaborados mediante la base de datos [Base de datos utilizada] reflejan que las búsquedas fueron realizadas con posterioridad al momento en que la Compañía debía tener la documentación a disposición de la Administración Tributaria.</w:t>
      </w:r>
    </w:p>
    <w:p w14:paraId="7C406ECE"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En atención a lo anterior, se recomienda eliminar las referencias explícitas a las actualizaciones de la base de datos o, alternativamente, incluir una nota aclaratoria que precise que dichas actualizaciones no modifican sustancialmente las conclusiones del análisis. Esta medida contribuirá a evitar posibles cuestionamientos sobre la contemporaneidad de la documentación y a garantizar el cumplimiento formal de las obligaciones establecidas por la normativa vigente.</w:t>
      </w:r>
    </w:p>
    <w:p w14:paraId="6D36C4B8" w14:textId="1C4977E2"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12</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258DC930" w14:textId="77777777" w:rsidR="00A36A81" w:rsidRDefault="00A36A81"/>
    <w:p w14:paraId="58221A87" w14:textId="77777777" w:rsidR="00790D69" w:rsidRDefault="00790D69"/>
    <w:p w14:paraId="273A05B8" w14:textId="77777777" w:rsidR="00790D69" w:rsidRDefault="00790D69"/>
    <w:p w14:paraId="5628B3BA" w14:textId="77777777" w:rsidR="00790D69" w:rsidRDefault="00790D69"/>
    <w:p w14:paraId="46B52892" w14:textId="77777777" w:rsidR="00790D69" w:rsidRDefault="00790D69"/>
    <w:p w14:paraId="397CFFCA" w14:textId="77777777" w:rsidR="00790D69" w:rsidRDefault="00790D69"/>
    <w:p w14:paraId="0CA417AD" w14:textId="77777777" w:rsidR="00790D69" w:rsidRDefault="00790D69"/>
    <w:p w14:paraId="6F0E6CAF" w14:textId="77777777" w:rsidR="00790D69" w:rsidRDefault="00790D69"/>
    <w:p w14:paraId="345A02C9" w14:textId="77777777" w:rsidR="00790D69" w:rsidRDefault="00790D69"/>
    <w:p w14:paraId="660A5BBD" w14:textId="77777777" w:rsidR="00790D69" w:rsidRDefault="00790D69"/>
    <w:p w14:paraId="4248BCFE" w14:textId="77777777" w:rsidR="00790D69" w:rsidRDefault="00790D69"/>
    <w:p w14:paraId="0EF9F3C7" w14:textId="77777777" w:rsidR="00790D69" w:rsidRDefault="00790D69"/>
    <w:p w14:paraId="61187234" w14:textId="77777777" w:rsidR="00790D69" w:rsidRDefault="00790D69"/>
    <w:p w14:paraId="505A95BC" w14:textId="77777777" w:rsidR="009B44E7" w:rsidRDefault="009B44E7"/>
    <w:p w14:paraId="60A1F63C" w14:textId="2273008A" w:rsidR="00790D69"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13</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383C4AF7" w14:textId="77777777" w:rsidR="00790D69" w:rsidRPr="00254C87" w:rsidRDefault="00790D69" w:rsidP="00790D69">
      <w:pPr>
        <w:spacing w:before="120" w:after="120" w:line="240" w:lineRule="atLeast"/>
        <w:rPr>
          <w:rFonts w:ascii="Arial" w:hAnsi="Arial" w:cs="Arial"/>
          <w:b/>
          <w:bCs/>
          <w:color w:val="808080"/>
          <w:sz w:val="20"/>
          <w:szCs w:val="20"/>
        </w:rPr>
      </w:pPr>
      <w:r w:rsidRPr="00254C87">
        <w:rPr>
          <w:rFonts w:ascii="Arial" w:hAnsi="Arial" w:cs="Arial"/>
          <w:b/>
          <w:bCs/>
          <w:color w:val="808080"/>
          <w:sz w:val="20"/>
          <w:szCs w:val="20"/>
        </w:rPr>
        <w:t>Rangos de mercado demasiado amplios</w:t>
      </w:r>
    </w:p>
    <w:p w14:paraId="7C14B4C7"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Tal y como se observa en las Tablas X, X y X del presente Documento, los rangos de mercado determinados a partir de las compañías comparables aceptadas presentan una amplitud significativa. En particular, el rango correspondiente a la [Operativa A] se sitúa entre XX% y XX%, mientras que el de la [Operativa B] abarca de XX% a XX%.</w:t>
      </w:r>
    </w:p>
    <w:p w14:paraId="41682856"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De acuerdo con las Directrices OCDE 2022 (Capítulo III) y con la Nota de la AEAT sobre diversas cuestiones relativas al rango de plena competencia (2019), una amplia dispersión del rango puede reflejar que ciertos datos o comparables no sean plenamente fiables, o que existan diferencias de comparabilidad que requieran ajustes. En concreto, las citadas Directrices señalan que:</w:t>
      </w:r>
    </w:p>
    <w:p w14:paraId="53E03066"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i/>
          <w:iCs/>
          <w:color w:val="808080"/>
          <w:sz w:val="20"/>
          <w:szCs w:val="20"/>
        </w:rPr>
        <w:t>“Una desviación importante entre los puntos del rango puede indicar que los datos utilizados para concretar algunos puntos tal vez no sean tan fiables [...] En tales casos, puede ser necesario un análisis más detenido para evaluar la idoneidad de su inclusión en el rango de plena competencia.”</w:t>
      </w:r>
    </w:p>
    <w:p w14:paraId="5AADABFE"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 xml:space="preserve">En línea con este principio, la AEAT enfatiza que </w:t>
      </w:r>
      <w:r w:rsidRPr="00254C87">
        <w:rPr>
          <w:rFonts w:ascii="Arial" w:hAnsi="Arial" w:cs="Arial"/>
          <w:i/>
          <w:iCs/>
          <w:color w:val="808080"/>
          <w:sz w:val="20"/>
          <w:szCs w:val="20"/>
        </w:rPr>
        <w:t>“una amplia dispersión en el rango debe invitar a un análisis más detenido para valorar la procedencia de eliminar aquellos puntos menos fiables o realizar ajustes de comparabilidad en los puntos que los precisen.”</w:t>
      </w:r>
    </w:p>
    <w:p w14:paraId="53AC218A"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En consecuencia, se recomienda realizar un análisis específico de la dispersión observada, con el objetivo de:</w:t>
      </w:r>
    </w:p>
    <w:p w14:paraId="0D8F850D" w14:textId="77777777" w:rsidR="00790D69" w:rsidRPr="00254C87" w:rsidRDefault="00790D69" w:rsidP="00790D69">
      <w:pPr>
        <w:numPr>
          <w:ilvl w:val="0"/>
          <w:numId w:val="7"/>
        </w:num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Identificar las causas que explican la amplitud de los rangos;</w:t>
      </w:r>
    </w:p>
    <w:p w14:paraId="55EFF600" w14:textId="77777777" w:rsidR="00790D69" w:rsidRPr="00254C87" w:rsidRDefault="00790D69" w:rsidP="00790D69">
      <w:pPr>
        <w:numPr>
          <w:ilvl w:val="0"/>
          <w:numId w:val="7"/>
        </w:num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Determinar si dicha amplitud deriva de diferencias de comparabilidad o de defectos en los datos; y</w:t>
      </w:r>
    </w:p>
    <w:p w14:paraId="6173F2F3" w14:textId="0628CB81" w:rsidR="00790D69" w:rsidRPr="009F49C0" w:rsidRDefault="00790D69" w:rsidP="009F49C0">
      <w:pPr>
        <w:numPr>
          <w:ilvl w:val="0"/>
          <w:numId w:val="7"/>
        </w:num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Aplicar, en su caso, ajustes de depuración o justificaciones técnicas que refuercen la fiabilidad del rango de plena competencia.</w:t>
      </w:r>
    </w:p>
    <w:p w14:paraId="68186FAF" w14:textId="61AA04AA"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13</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57EADC76" w14:textId="77777777" w:rsidR="009F49C0" w:rsidRDefault="009F49C0"/>
    <w:p w14:paraId="04824C86" w14:textId="77777777" w:rsidR="007074FF" w:rsidRDefault="007074FF"/>
    <w:p w14:paraId="44CA3C0E" w14:textId="77777777" w:rsidR="007074FF" w:rsidRDefault="007074FF"/>
    <w:p w14:paraId="3DE42D28" w14:textId="77777777" w:rsidR="007074FF" w:rsidRDefault="007074FF"/>
    <w:p w14:paraId="5C868524" w14:textId="77777777" w:rsidR="007074FF" w:rsidRDefault="007074FF"/>
    <w:p w14:paraId="58552AB6" w14:textId="77777777" w:rsidR="007074FF" w:rsidRDefault="007074FF"/>
    <w:p w14:paraId="01A89E5D" w14:textId="77777777" w:rsidR="007074FF" w:rsidRDefault="007074FF"/>
    <w:p w14:paraId="15E8CB08" w14:textId="77777777" w:rsidR="007074FF" w:rsidRDefault="007074FF"/>
    <w:p w14:paraId="0617D099" w14:textId="77777777" w:rsidR="007074FF" w:rsidRDefault="007074FF"/>
    <w:p w14:paraId="4BD01926" w14:textId="77777777" w:rsidR="007074FF" w:rsidRDefault="007074FF"/>
    <w:p w14:paraId="03E36E85" w14:textId="77777777" w:rsidR="007074FF" w:rsidRDefault="007074FF"/>
    <w:p w14:paraId="75BDA7B4" w14:textId="77777777" w:rsidR="007074FF" w:rsidRDefault="007074FF"/>
    <w:p w14:paraId="20DC690C" w14:textId="5AEC668F" w:rsidR="009B44E7" w:rsidRDefault="009B44E7" w:rsidP="007074FF">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14</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7204BC72" w14:textId="0626FD9F" w:rsidR="007074FF" w:rsidRPr="005E5B82" w:rsidRDefault="007074FF" w:rsidP="007074FF">
      <w:pPr>
        <w:spacing w:before="120" w:after="120" w:line="240" w:lineRule="atLeast"/>
        <w:rPr>
          <w:rFonts w:ascii="Arial" w:hAnsi="Arial" w:cs="Arial"/>
          <w:b/>
          <w:bCs/>
          <w:color w:val="808080"/>
          <w:sz w:val="20"/>
          <w:szCs w:val="20"/>
        </w:rPr>
      </w:pPr>
      <w:r w:rsidRPr="005E5B82">
        <w:rPr>
          <w:rFonts w:ascii="Arial" w:hAnsi="Arial" w:cs="Arial"/>
          <w:b/>
          <w:bCs/>
          <w:color w:val="808080"/>
          <w:sz w:val="20"/>
          <w:szCs w:val="20"/>
        </w:rPr>
        <w:t>Rentabilidad utilizada ponderando la rentabilidad de varios años</w:t>
      </w:r>
    </w:p>
    <w:p w14:paraId="3ABE4824"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 xml:space="preserve">En el </w:t>
      </w:r>
      <w:r w:rsidRPr="005E5B82">
        <w:rPr>
          <w:rFonts w:ascii="Arial" w:hAnsi="Arial" w:cs="Arial"/>
          <w:i/>
          <w:iCs/>
          <w:color w:val="808080"/>
          <w:sz w:val="20"/>
          <w:szCs w:val="20"/>
        </w:rPr>
        <w:t>Local File</w:t>
      </w:r>
      <w:r w:rsidRPr="005E5B82">
        <w:rPr>
          <w:rFonts w:ascii="Arial" w:hAnsi="Arial" w:cs="Arial"/>
          <w:color w:val="808080"/>
          <w:sz w:val="20"/>
          <w:szCs w:val="20"/>
        </w:rPr>
        <w:t xml:space="preserve"> se ha incluido la rentabilidad sobre costes ponderada obtenida por la Compañía durante el período [20XX–20XX].</w:t>
      </w:r>
    </w:p>
    <w:p w14:paraId="30E2681E"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Conforme a la sentencia de la Audiencia Nacional n.º 1072/2019, de 6 de marzo, resulta adecuado considerar un horizonte plurianual en el análisis de comparabilidad, con el fin de atenuar las distorsiones derivadas de la volatilidad de resultados en ejercicios aislados.</w:t>
      </w:r>
    </w:p>
    <w:p w14:paraId="78C114F8"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No obstante, la citada resolución —en línea con las Directrices OCDE 2022 (Cap. III, párrafos 3.75–3.79)— subraya que los resultados deben ser objeto de un examen individualizado por ejercicio fiscal, para reflejar con precisión la realidad económica de la entidad y garantizar que los precios de transferencia se mantengan dentro del rango de plena competencia en cada período.</w:t>
      </w:r>
    </w:p>
    <w:p w14:paraId="224E78A3"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 xml:space="preserve">En consecuencia, y con el objetivo de reforzar la consistencia y exhaustividad del </w:t>
      </w:r>
      <w:r w:rsidRPr="005E5B82">
        <w:rPr>
          <w:rFonts w:ascii="Arial" w:hAnsi="Arial" w:cs="Arial"/>
          <w:i/>
          <w:iCs/>
          <w:color w:val="808080"/>
          <w:sz w:val="20"/>
          <w:szCs w:val="20"/>
        </w:rPr>
        <w:t>Local File</w:t>
      </w:r>
      <w:r w:rsidRPr="005E5B82">
        <w:rPr>
          <w:rFonts w:ascii="Arial" w:hAnsi="Arial" w:cs="Arial"/>
          <w:color w:val="808080"/>
          <w:sz w:val="20"/>
          <w:szCs w:val="20"/>
        </w:rPr>
        <w:t>, se recomienda incorporar también la rentabilidad correspondiente al ejercicio 202X, de modo que el análisis incluya información tanto plurianual como anual desglosada, con una explicación técnica de la metodología de ponderación aplicada.</w:t>
      </w:r>
    </w:p>
    <w:p w14:paraId="13568F5D" w14:textId="1407218E"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14</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77CC41C9" w14:textId="77777777" w:rsidR="007074FF" w:rsidRDefault="007074FF"/>
    <w:p w14:paraId="484ED858" w14:textId="77777777" w:rsidR="00FD64F2" w:rsidRDefault="00FD64F2"/>
    <w:p w14:paraId="7406377D" w14:textId="77777777" w:rsidR="00FD64F2" w:rsidRDefault="00FD64F2"/>
    <w:p w14:paraId="63E3B70A" w14:textId="77777777" w:rsidR="00FD64F2" w:rsidRDefault="00FD64F2"/>
    <w:p w14:paraId="27A73E27" w14:textId="77777777" w:rsidR="00FD64F2" w:rsidRDefault="00FD64F2"/>
    <w:p w14:paraId="1359A1E9" w14:textId="77777777" w:rsidR="00FD64F2" w:rsidRDefault="00FD64F2"/>
    <w:p w14:paraId="0C360199" w14:textId="77777777" w:rsidR="00FD64F2" w:rsidRDefault="00FD64F2"/>
    <w:p w14:paraId="73EAE40D" w14:textId="77777777" w:rsidR="00FD64F2" w:rsidRDefault="00FD64F2"/>
    <w:p w14:paraId="2FBE95B1" w14:textId="77777777" w:rsidR="00FD64F2" w:rsidRDefault="00FD64F2"/>
    <w:p w14:paraId="2C3B7424" w14:textId="77777777" w:rsidR="00FD64F2" w:rsidRDefault="00FD64F2"/>
    <w:p w14:paraId="4D5FF0B2" w14:textId="77777777" w:rsidR="00FD64F2" w:rsidRDefault="00FD64F2"/>
    <w:p w14:paraId="7A5F0A7B" w14:textId="77777777" w:rsidR="00FD64F2" w:rsidRDefault="00FD64F2"/>
    <w:p w14:paraId="54872ADE" w14:textId="77777777" w:rsidR="00FD64F2" w:rsidRDefault="00FD64F2"/>
    <w:p w14:paraId="51AD0AA0" w14:textId="77777777" w:rsidR="00FD64F2" w:rsidRDefault="00FD64F2"/>
    <w:p w14:paraId="45D5B9E5" w14:textId="77777777" w:rsidR="00FD64F2" w:rsidRDefault="00FD64F2"/>
    <w:p w14:paraId="2054EBD3" w14:textId="77777777" w:rsidR="00FD64F2" w:rsidRDefault="00FD64F2"/>
    <w:p w14:paraId="7788D066" w14:textId="77777777" w:rsidR="00FD64F2" w:rsidRDefault="00FD64F2"/>
    <w:p w14:paraId="02701C43" w14:textId="77777777" w:rsidR="00FD64F2" w:rsidRDefault="00FD64F2"/>
    <w:p w14:paraId="66DB1554" w14:textId="1F543BD4" w:rsidR="00FD64F2"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15</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574C9FBD" w14:textId="77777777" w:rsidR="00FD64F2" w:rsidRPr="00FD64F2" w:rsidRDefault="00FD64F2" w:rsidP="00FD64F2">
      <w:pPr>
        <w:spacing w:before="120" w:after="120" w:line="240" w:lineRule="atLeast"/>
        <w:rPr>
          <w:rFonts w:ascii="Arial" w:hAnsi="Arial" w:cs="Arial"/>
          <w:b/>
          <w:bCs/>
          <w:color w:val="808080"/>
          <w:sz w:val="20"/>
          <w:szCs w:val="20"/>
        </w:rPr>
      </w:pPr>
      <w:r w:rsidRPr="00FD64F2">
        <w:rPr>
          <w:rFonts w:ascii="Arial" w:hAnsi="Arial" w:cs="Arial"/>
          <w:b/>
          <w:bCs/>
          <w:color w:val="808080"/>
          <w:sz w:val="20"/>
          <w:szCs w:val="20"/>
        </w:rPr>
        <w:t xml:space="preserve">Servicios intragrupo </w:t>
      </w:r>
      <w:proofErr w:type="spellStart"/>
      <w:r w:rsidRPr="00FD64F2">
        <w:rPr>
          <w:rFonts w:ascii="Arial" w:hAnsi="Arial" w:cs="Arial"/>
          <w:b/>
          <w:bCs/>
          <w:color w:val="808080"/>
          <w:sz w:val="20"/>
          <w:szCs w:val="20"/>
        </w:rPr>
        <w:t>benefit</w:t>
      </w:r>
      <w:proofErr w:type="spellEnd"/>
      <w:r w:rsidRPr="00FD64F2">
        <w:rPr>
          <w:rFonts w:ascii="Arial" w:hAnsi="Arial" w:cs="Arial"/>
          <w:b/>
          <w:bCs/>
          <w:color w:val="808080"/>
          <w:sz w:val="20"/>
          <w:szCs w:val="20"/>
        </w:rPr>
        <w:t xml:space="preserve"> test</w:t>
      </w:r>
    </w:p>
    <w:p w14:paraId="319906CE" w14:textId="77777777" w:rsidR="00FD64F2" w:rsidRP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Tal y como recogen los párrafos 7.54 y siguientes de las Directrices OCDE 2022, en el análisis de los servicios intragrupo deben evaluarse dos aspectos fundamentales:</w:t>
      </w:r>
    </w:p>
    <w:p w14:paraId="56A6CAF3"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si el servicio ha sido efectivamente prestado y genera un beneficio económico o comercial para la entidad receptora (</w:t>
      </w:r>
      <w:proofErr w:type="spellStart"/>
      <w:r w:rsidRPr="00FD64F2">
        <w:rPr>
          <w:rFonts w:ascii="Arial" w:hAnsi="Arial" w:cs="Arial"/>
          <w:color w:val="808080"/>
          <w:sz w:val="20"/>
          <w:szCs w:val="20"/>
        </w:rPr>
        <w:t>benefit</w:t>
      </w:r>
      <w:proofErr w:type="spellEnd"/>
      <w:r w:rsidRPr="00FD64F2">
        <w:rPr>
          <w:rFonts w:ascii="Arial" w:hAnsi="Arial" w:cs="Arial"/>
          <w:color w:val="808080"/>
          <w:sz w:val="20"/>
          <w:szCs w:val="20"/>
        </w:rPr>
        <w:t xml:space="preserve"> test); y</w:t>
      </w:r>
    </w:p>
    <w:p w14:paraId="57C4BC5E"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si la remuneración aplicada se ajusta al principio de plena competencia (</w:t>
      </w:r>
      <w:proofErr w:type="spellStart"/>
      <w:r w:rsidRPr="00FD64F2">
        <w:rPr>
          <w:rFonts w:ascii="Arial" w:hAnsi="Arial" w:cs="Arial"/>
          <w:color w:val="808080"/>
          <w:sz w:val="20"/>
          <w:szCs w:val="20"/>
        </w:rPr>
        <w:t>arm’s</w:t>
      </w:r>
      <w:proofErr w:type="spellEnd"/>
      <w:r w:rsidRPr="00FD64F2">
        <w:rPr>
          <w:rFonts w:ascii="Arial" w:hAnsi="Arial" w:cs="Arial"/>
          <w:color w:val="808080"/>
          <w:sz w:val="20"/>
          <w:szCs w:val="20"/>
        </w:rPr>
        <w:t xml:space="preserve"> </w:t>
      </w:r>
      <w:proofErr w:type="spellStart"/>
      <w:r w:rsidRPr="00FD64F2">
        <w:rPr>
          <w:rFonts w:ascii="Arial" w:hAnsi="Arial" w:cs="Arial"/>
          <w:color w:val="808080"/>
          <w:sz w:val="20"/>
          <w:szCs w:val="20"/>
        </w:rPr>
        <w:t>length</w:t>
      </w:r>
      <w:proofErr w:type="spellEnd"/>
      <w:r w:rsidRPr="00FD64F2">
        <w:rPr>
          <w:rFonts w:ascii="Arial" w:hAnsi="Arial" w:cs="Arial"/>
          <w:color w:val="808080"/>
          <w:sz w:val="20"/>
          <w:szCs w:val="20"/>
        </w:rPr>
        <w:t xml:space="preserve"> </w:t>
      </w:r>
      <w:proofErr w:type="spellStart"/>
      <w:r w:rsidRPr="00FD64F2">
        <w:rPr>
          <w:rFonts w:ascii="Arial" w:hAnsi="Arial" w:cs="Arial"/>
          <w:color w:val="808080"/>
          <w:sz w:val="20"/>
          <w:szCs w:val="20"/>
        </w:rPr>
        <w:t>principle</w:t>
      </w:r>
      <w:proofErr w:type="spellEnd"/>
      <w:r w:rsidRPr="00FD64F2">
        <w:rPr>
          <w:rFonts w:ascii="Arial" w:hAnsi="Arial" w:cs="Arial"/>
          <w:color w:val="808080"/>
          <w:sz w:val="20"/>
          <w:szCs w:val="20"/>
        </w:rPr>
        <w:t>).</w:t>
      </w:r>
    </w:p>
    <w:p w14:paraId="317B5829" w14:textId="77777777" w:rsidR="00FD64F2" w:rsidRP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Para el primer aspecto, debe analizarse si los servicios contribuyen de forma demostrable a mantener o mejorar la posición competitiva de la entidad receptora. En este sentido, se recomienda que la Documentación de Precios de Transferencia incluya una referencia explícita a la verificación de la efectiva prestación del servicio, la existencia de un beneficio identificable para las entidades receptoras y la ausencia de duplicidades.</w:t>
      </w:r>
    </w:p>
    <w:p w14:paraId="63F1F9F4" w14:textId="77777777" w:rsidR="00FD64F2" w:rsidRP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 xml:space="preserve">La Administración Tributaria española mantiene un enfoque estricto respecto de los servicios corporativos intragrupo, exigiendo que los contribuyentes acrediten su deducibilidad mediante un </w:t>
      </w:r>
      <w:proofErr w:type="spellStart"/>
      <w:r w:rsidRPr="00FD64F2">
        <w:rPr>
          <w:rFonts w:ascii="Arial" w:hAnsi="Arial" w:cs="Arial"/>
          <w:color w:val="808080"/>
          <w:sz w:val="20"/>
          <w:szCs w:val="20"/>
        </w:rPr>
        <w:t>benefit</w:t>
      </w:r>
      <w:proofErr w:type="spellEnd"/>
      <w:r w:rsidRPr="00FD64F2">
        <w:rPr>
          <w:rFonts w:ascii="Arial" w:hAnsi="Arial" w:cs="Arial"/>
          <w:color w:val="808080"/>
          <w:sz w:val="20"/>
          <w:szCs w:val="20"/>
        </w:rPr>
        <w:t xml:space="preserve"> test que demuestre, entre otros aspectos:</w:t>
      </w:r>
    </w:p>
    <w:p w14:paraId="550EF668"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La trazabilidad y soporte documental de los servicios prestados (organigramas, informes, desglose de costes, evidencias internas).</w:t>
      </w:r>
    </w:p>
    <w:p w14:paraId="3A0FDBC8"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Que el alcance de los servicios no se solapa con funciones propias del personal de la entidad receptora, evitando así duplicidades.</w:t>
      </w:r>
    </w:p>
    <w:p w14:paraId="0D6F65FF"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La existencia efectiva de los servicios y de los costes imputados.</w:t>
      </w:r>
    </w:p>
    <w:p w14:paraId="05A88F0E" w14:textId="77777777" w:rsid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 xml:space="preserve">En consecuencia, se recomienda que la Documentación incluya un </w:t>
      </w:r>
      <w:proofErr w:type="spellStart"/>
      <w:r w:rsidRPr="00FD64F2">
        <w:rPr>
          <w:rFonts w:ascii="Arial" w:hAnsi="Arial" w:cs="Arial"/>
          <w:color w:val="808080"/>
          <w:sz w:val="20"/>
          <w:szCs w:val="20"/>
        </w:rPr>
        <w:t>benefit</w:t>
      </w:r>
      <w:proofErr w:type="spellEnd"/>
      <w:r w:rsidRPr="00FD64F2">
        <w:rPr>
          <w:rFonts w:ascii="Arial" w:hAnsi="Arial" w:cs="Arial"/>
          <w:color w:val="808080"/>
          <w:sz w:val="20"/>
          <w:szCs w:val="20"/>
        </w:rPr>
        <w:t xml:space="preserve"> test detallado, acompañado de la evidencia que acredite la trazabilidad y sustancia de los servicios, tanto en el caso de los servicios de bajo valor añadido (descritos en la documentación), como, en su caso, de los servicios de mayor valor añadido. Esta información permitirá reforzar la defensa del principio de plena competencia y la deducibilidad fiscal de los gastos asociados.</w:t>
      </w:r>
    </w:p>
    <w:p w14:paraId="608F8B0C" w14:textId="6599F279"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15</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545D33A" w14:textId="77777777" w:rsidR="00FD64F2" w:rsidRDefault="00FD64F2" w:rsidP="00FD64F2">
      <w:pPr>
        <w:spacing w:before="120" w:after="120" w:line="240" w:lineRule="atLeast"/>
        <w:jc w:val="both"/>
        <w:rPr>
          <w:rFonts w:ascii="Arial" w:hAnsi="Arial" w:cs="Arial"/>
          <w:color w:val="808080"/>
          <w:sz w:val="20"/>
          <w:szCs w:val="20"/>
        </w:rPr>
      </w:pPr>
    </w:p>
    <w:p w14:paraId="4D55C026" w14:textId="77777777" w:rsidR="00FD64F2" w:rsidRDefault="00FD64F2" w:rsidP="00FD64F2">
      <w:pPr>
        <w:spacing w:before="120" w:after="120" w:line="240" w:lineRule="atLeast"/>
        <w:jc w:val="both"/>
        <w:rPr>
          <w:rFonts w:ascii="Arial" w:hAnsi="Arial" w:cs="Arial"/>
          <w:color w:val="808080"/>
          <w:sz w:val="20"/>
          <w:szCs w:val="20"/>
        </w:rPr>
      </w:pPr>
    </w:p>
    <w:p w14:paraId="7BAB672D" w14:textId="77777777" w:rsidR="00FD64F2" w:rsidRDefault="00FD64F2" w:rsidP="00FD64F2">
      <w:pPr>
        <w:spacing w:before="120" w:after="120" w:line="240" w:lineRule="atLeast"/>
        <w:jc w:val="both"/>
        <w:rPr>
          <w:rFonts w:ascii="Arial" w:hAnsi="Arial" w:cs="Arial"/>
          <w:color w:val="808080"/>
          <w:sz w:val="20"/>
          <w:szCs w:val="20"/>
        </w:rPr>
      </w:pPr>
    </w:p>
    <w:p w14:paraId="5A917574" w14:textId="77777777" w:rsidR="00FD64F2" w:rsidRDefault="00FD64F2" w:rsidP="00FD64F2">
      <w:pPr>
        <w:spacing w:before="120" w:after="120" w:line="240" w:lineRule="atLeast"/>
        <w:jc w:val="both"/>
        <w:rPr>
          <w:rFonts w:ascii="Arial" w:hAnsi="Arial" w:cs="Arial"/>
          <w:color w:val="808080"/>
          <w:sz w:val="20"/>
          <w:szCs w:val="20"/>
        </w:rPr>
      </w:pPr>
    </w:p>
    <w:p w14:paraId="40570EE3" w14:textId="77777777" w:rsidR="00FD64F2" w:rsidRDefault="00FD64F2" w:rsidP="00FD64F2">
      <w:pPr>
        <w:spacing w:before="120" w:after="120" w:line="240" w:lineRule="atLeast"/>
        <w:jc w:val="both"/>
        <w:rPr>
          <w:rFonts w:ascii="Arial" w:hAnsi="Arial" w:cs="Arial"/>
          <w:color w:val="808080"/>
          <w:sz w:val="20"/>
          <w:szCs w:val="20"/>
        </w:rPr>
      </w:pPr>
    </w:p>
    <w:p w14:paraId="28AF8972" w14:textId="77777777" w:rsidR="00FD64F2" w:rsidRDefault="00FD64F2" w:rsidP="00FD64F2">
      <w:pPr>
        <w:spacing w:before="120" w:after="120" w:line="240" w:lineRule="atLeast"/>
        <w:jc w:val="both"/>
        <w:rPr>
          <w:rFonts w:ascii="Arial" w:hAnsi="Arial" w:cs="Arial"/>
          <w:color w:val="808080"/>
          <w:sz w:val="20"/>
          <w:szCs w:val="20"/>
        </w:rPr>
      </w:pPr>
    </w:p>
    <w:p w14:paraId="24151991" w14:textId="77777777" w:rsidR="00FD64F2" w:rsidRDefault="00FD64F2" w:rsidP="00FD64F2">
      <w:pPr>
        <w:spacing w:before="120" w:after="120" w:line="240" w:lineRule="atLeast"/>
        <w:jc w:val="both"/>
        <w:rPr>
          <w:rFonts w:ascii="Arial" w:hAnsi="Arial" w:cs="Arial"/>
          <w:color w:val="808080"/>
          <w:sz w:val="20"/>
          <w:szCs w:val="20"/>
        </w:rPr>
      </w:pPr>
    </w:p>
    <w:p w14:paraId="26778C98" w14:textId="77777777" w:rsidR="00FD64F2" w:rsidRDefault="00FD64F2" w:rsidP="00FD64F2">
      <w:pPr>
        <w:spacing w:before="120" w:after="120" w:line="240" w:lineRule="atLeast"/>
        <w:jc w:val="both"/>
        <w:rPr>
          <w:rFonts w:ascii="Arial" w:hAnsi="Arial" w:cs="Arial"/>
          <w:color w:val="808080"/>
          <w:sz w:val="20"/>
          <w:szCs w:val="20"/>
        </w:rPr>
      </w:pPr>
    </w:p>
    <w:p w14:paraId="28C3D548" w14:textId="77777777" w:rsidR="00FD64F2" w:rsidRDefault="00FD64F2" w:rsidP="00FD64F2">
      <w:pPr>
        <w:spacing w:before="120" w:after="120" w:line="240" w:lineRule="atLeast"/>
        <w:jc w:val="both"/>
        <w:rPr>
          <w:rFonts w:ascii="Arial" w:hAnsi="Arial" w:cs="Arial"/>
          <w:color w:val="808080"/>
          <w:sz w:val="20"/>
          <w:szCs w:val="20"/>
        </w:rPr>
      </w:pPr>
    </w:p>
    <w:p w14:paraId="73639A4F" w14:textId="77777777" w:rsidR="00FD64F2" w:rsidRDefault="00FD64F2" w:rsidP="00FD64F2">
      <w:pPr>
        <w:spacing w:before="120" w:after="120" w:line="240" w:lineRule="atLeast"/>
        <w:jc w:val="both"/>
        <w:rPr>
          <w:rFonts w:ascii="Arial" w:hAnsi="Arial" w:cs="Arial"/>
          <w:color w:val="808080"/>
          <w:sz w:val="20"/>
          <w:szCs w:val="20"/>
        </w:rPr>
      </w:pPr>
    </w:p>
    <w:p w14:paraId="2A609D5B" w14:textId="77777777" w:rsidR="00FD64F2" w:rsidRDefault="00FD64F2" w:rsidP="00FD64F2">
      <w:pPr>
        <w:spacing w:before="120" w:after="120" w:line="240" w:lineRule="atLeast"/>
        <w:jc w:val="both"/>
        <w:rPr>
          <w:rFonts w:ascii="Arial" w:hAnsi="Arial" w:cs="Arial"/>
          <w:color w:val="808080"/>
          <w:sz w:val="20"/>
          <w:szCs w:val="20"/>
        </w:rPr>
      </w:pPr>
    </w:p>
    <w:p w14:paraId="1E624115" w14:textId="77777777" w:rsidR="00FD64F2" w:rsidRDefault="00FD64F2" w:rsidP="00FD64F2">
      <w:pPr>
        <w:spacing w:before="120" w:after="120" w:line="240" w:lineRule="atLeast"/>
        <w:jc w:val="both"/>
        <w:rPr>
          <w:rFonts w:ascii="Arial" w:hAnsi="Arial" w:cs="Arial"/>
          <w:color w:val="808080"/>
          <w:sz w:val="20"/>
          <w:szCs w:val="20"/>
        </w:rPr>
      </w:pPr>
    </w:p>
    <w:p w14:paraId="3215EE59" w14:textId="77777777" w:rsidR="00FD64F2" w:rsidRDefault="00FD64F2" w:rsidP="00FD64F2">
      <w:pPr>
        <w:spacing w:before="120" w:after="120" w:line="240" w:lineRule="atLeast"/>
        <w:jc w:val="both"/>
        <w:rPr>
          <w:rFonts w:ascii="Arial" w:hAnsi="Arial" w:cs="Arial"/>
          <w:color w:val="808080"/>
          <w:sz w:val="20"/>
          <w:szCs w:val="20"/>
        </w:rPr>
      </w:pPr>
    </w:p>
    <w:p w14:paraId="69C1F8E4" w14:textId="77777777" w:rsidR="00FD64F2" w:rsidRDefault="00FD64F2" w:rsidP="00FD64F2">
      <w:pPr>
        <w:spacing w:before="120" w:after="120" w:line="240" w:lineRule="atLeast"/>
        <w:jc w:val="both"/>
        <w:rPr>
          <w:rFonts w:ascii="Arial" w:hAnsi="Arial" w:cs="Arial"/>
          <w:color w:val="808080"/>
          <w:sz w:val="20"/>
          <w:szCs w:val="20"/>
        </w:rPr>
      </w:pPr>
    </w:p>
    <w:p w14:paraId="3EA35659" w14:textId="77777777" w:rsidR="00FD64F2" w:rsidRDefault="00FD64F2" w:rsidP="00FD64F2">
      <w:pPr>
        <w:spacing w:before="120" w:after="120" w:line="240" w:lineRule="atLeast"/>
        <w:jc w:val="both"/>
        <w:rPr>
          <w:rFonts w:ascii="Arial" w:hAnsi="Arial" w:cs="Arial"/>
          <w:color w:val="808080"/>
          <w:sz w:val="20"/>
          <w:szCs w:val="20"/>
        </w:rPr>
      </w:pPr>
    </w:p>
    <w:p w14:paraId="2DD1C9C7" w14:textId="77777777" w:rsidR="00FD64F2" w:rsidRDefault="00FD64F2" w:rsidP="00FD64F2">
      <w:pPr>
        <w:spacing w:before="120" w:after="120" w:line="240" w:lineRule="atLeast"/>
        <w:jc w:val="both"/>
        <w:rPr>
          <w:rFonts w:ascii="Arial" w:hAnsi="Arial" w:cs="Arial"/>
          <w:color w:val="808080"/>
          <w:sz w:val="20"/>
          <w:szCs w:val="20"/>
        </w:rPr>
      </w:pPr>
    </w:p>
    <w:p w14:paraId="2093C961" w14:textId="0CE975BF" w:rsidR="00FD64F2"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16</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7C9BA482" w14:textId="77777777" w:rsidR="0062269D" w:rsidRPr="006F5704" w:rsidRDefault="0062269D" w:rsidP="0062269D">
      <w:pPr>
        <w:spacing w:before="120" w:after="120" w:line="240" w:lineRule="atLeast"/>
        <w:jc w:val="both"/>
        <w:rPr>
          <w:rFonts w:ascii="Arial" w:hAnsi="Arial" w:cs="Arial"/>
          <w:b/>
          <w:bCs/>
          <w:color w:val="808080"/>
          <w:sz w:val="20"/>
          <w:szCs w:val="20"/>
        </w:rPr>
      </w:pPr>
      <w:r w:rsidRPr="006F5704">
        <w:rPr>
          <w:rFonts w:ascii="Arial" w:hAnsi="Arial" w:cs="Arial"/>
          <w:b/>
          <w:bCs/>
          <w:color w:val="808080"/>
          <w:sz w:val="20"/>
          <w:szCs w:val="20"/>
        </w:rPr>
        <w:t>Situación de pérdidas de la compañía</w:t>
      </w:r>
    </w:p>
    <w:p w14:paraId="7A031053"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Se ha verificado que la Compañía ha registrado pérdidas operativas en el ejercicio 20XX (EBIT: –XXX.XXX euros), con carácter recurrente, según la información financiera de ejercicios anteriores disponible en bases de datos públicas.</w:t>
      </w:r>
    </w:p>
    <w:p w14:paraId="62963F27"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 xml:space="preserve">Esta situación constituye un indicador de riesgo fiscal habitualmente monitorizado por la Agencia Estatal de Administración Tributaria (AEAT), al considerar que la persistencia de resultados negativos puede reflejar desviaciones respecto del principio de plena competencia. En particular, las Directrices OCDE 2022 (Capítulo I, Sección D  y Capítulo VI determinan que la existencia de pérdidas no invalida automáticamente la plena competencia de determinadas contraprestaciones (por ejemplo, royalties). No obstante, las pérdidas recurrentes constituyen un indicador de riesgo que exige justificar la continuidad de pagos mediante evidencia objetiva (expectativa razonable de beneficios futuros, carácter esencial del intangible, cláusulas contractuales que regulen ajustes, etc.). En aplicación del art. 17 del RIS, tales circunstancias económicas deben explicarse y documentarse en la </w:t>
      </w:r>
      <w:r w:rsidRPr="006F5704">
        <w:rPr>
          <w:rFonts w:ascii="Arial" w:hAnsi="Arial" w:cs="Arial"/>
          <w:i/>
          <w:iCs/>
          <w:color w:val="808080"/>
          <w:sz w:val="20"/>
          <w:szCs w:val="20"/>
        </w:rPr>
        <w:t>Local File</w:t>
      </w:r>
      <w:r w:rsidRPr="006F5704">
        <w:rPr>
          <w:rFonts w:ascii="Arial" w:hAnsi="Arial" w:cs="Arial"/>
          <w:color w:val="808080"/>
          <w:sz w:val="20"/>
          <w:szCs w:val="20"/>
        </w:rPr>
        <w:t>. Dado que las operaciones vinculadas representan una parte significativa de la actividad de la Compañía, en una eventual inspección las autoridades tributarias podrían analizar la rentabilidad global de la entidad como elemento indirecto para verificar la adecuación de los precios de transferencia aplicados.</w:t>
      </w:r>
    </w:p>
    <w:p w14:paraId="3901B6E0"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En consecuencia, se recomienda incluir en la documentación de precios de transferencia una explicación técnica y económica detallada que justifique las pérdidas registradas, identificando:</w:t>
      </w:r>
    </w:p>
    <w:p w14:paraId="11D184F2" w14:textId="77777777" w:rsidR="0062269D" w:rsidRPr="006F5704" w:rsidRDefault="0062269D" w:rsidP="0062269D">
      <w:pPr>
        <w:numPr>
          <w:ilvl w:val="0"/>
          <w:numId w:val="10"/>
        </w:num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Los factores de mercado o coyunturales que las motivan;</w:t>
      </w:r>
    </w:p>
    <w:p w14:paraId="2DE5FC06" w14:textId="77777777" w:rsidR="0062269D" w:rsidRPr="006F5704" w:rsidRDefault="0062269D" w:rsidP="0062269D">
      <w:pPr>
        <w:numPr>
          <w:ilvl w:val="0"/>
          <w:numId w:val="10"/>
        </w:num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La ausencia de vínculo entre dichas pérdidas y las condiciones aplicadas en las operaciones vinculadas; y</w:t>
      </w:r>
    </w:p>
    <w:p w14:paraId="6B02504A" w14:textId="77777777" w:rsidR="0062269D" w:rsidRPr="006F5704" w:rsidRDefault="0062269D" w:rsidP="0062269D">
      <w:pPr>
        <w:numPr>
          <w:ilvl w:val="0"/>
          <w:numId w:val="10"/>
        </w:num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La razonabilidad económica de los resultados en comparación con competidores independientes.</w:t>
      </w:r>
    </w:p>
    <w:p w14:paraId="52CF061E"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Esta información permitirá demostrar la plena competencia de las transacciones intragrupo y reducir el riesgo de ajustes o actuaciones de comprobación por parte de la Administración Tributaria.</w:t>
      </w:r>
    </w:p>
    <w:p w14:paraId="7014F179" w14:textId="663B493F"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16</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68D53B30" w14:textId="77777777" w:rsidR="00FD64F2" w:rsidRDefault="00FD64F2"/>
    <w:sectPr w:rsidR="00FD64F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443A5" w14:textId="77777777" w:rsidR="001739DB" w:rsidRDefault="001739DB" w:rsidP="00BB1AF9">
      <w:pPr>
        <w:spacing w:after="0" w:line="240" w:lineRule="auto"/>
      </w:pPr>
      <w:r>
        <w:separator/>
      </w:r>
    </w:p>
  </w:endnote>
  <w:endnote w:type="continuationSeparator" w:id="0">
    <w:p w14:paraId="66634EDB" w14:textId="77777777" w:rsidR="001739DB" w:rsidRDefault="001739DB" w:rsidP="00BB1A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CCB6F" w14:textId="77777777" w:rsidR="001739DB" w:rsidRDefault="001739DB" w:rsidP="00BB1AF9">
      <w:pPr>
        <w:spacing w:after="0" w:line="240" w:lineRule="auto"/>
      </w:pPr>
      <w:r>
        <w:separator/>
      </w:r>
    </w:p>
  </w:footnote>
  <w:footnote w:type="continuationSeparator" w:id="0">
    <w:p w14:paraId="76452A73" w14:textId="77777777" w:rsidR="001739DB" w:rsidRDefault="001739DB" w:rsidP="00BB1A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61505"/>
    <w:multiLevelType w:val="multilevel"/>
    <w:tmpl w:val="3C9A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E03B0"/>
    <w:multiLevelType w:val="multilevel"/>
    <w:tmpl w:val="2E7C8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CB115A"/>
    <w:multiLevelType w:val="multilevel"/>
    <w:tmpl w:val="9442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18693E"/>
    <w:multiLevelType w:val="hybridMultilevel"/>
    <w:tmpl w:val="4BA099A4"/>
    <w:lvl w:ilvl="0" w:tplc="D3D6348C">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1524F37"/>
    <w:multiLevelType w:val="multilevel"/>
    <w:tmpl w:val="6A00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475A97"/>
    <w:multiLevelType w:val="multilevel"/>
    <w:tmpl w:val="21E6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A30273"/>
    <w:multiLevelType w:val="hybridMultilevel"/>
    <w:tmpl w:val="72968670"/>
    <w:lvl w:ilvl="0" w:tplc="75F0F4A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8CC38C5"/>
    <w:multiLevelType w:val="multilevel"/>
    <w:tmpl w:val="4748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2E71B9"/>
    <w:multiLevelType w:val="multilevel"/>
    <w:tmpl w:val="3EC8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723E59"/>
    <w:multiLevelType w:val="multilevel"/>
    <w:tmpl w:val="2D0E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105874">
    <w:abstractNumId w:val="1"/>
  </w:num>
  <w:num w:numId="2" w16cid:durableId="858088172">
    <w:abstractNumId w:val="2"/>
  </w:num>
  <w:num w:numId="3" w16cid:durableId="1064764067">
    <w:abstractNumId w:val="4"/>
  </w:num>
  <w:num w:numId="4" w16cid:durableId="1231769402">
    <w:abstractNumId w:val="5"/>
  </w:num>
  <w:num w:numId="5" w16cid:durableId="1478716654">
    <w:abstractNumId w:val="9"/>
  </w:num>
  <w:num w:numId="6" w16cid:durableId="1432629879">
    <w:abstractNumId w:val="7"/>
  </w:num>
  <w:num w:numId="7" w16cid:durableId="1884828047">
    <w:abstractNumId w:val="0"/>
  </w:num>
  <w:num w:numId="8" w16cid:durableId="216362397">
    <w:abstractNumId w:val="3"/>
  </w:num>
  <w:num w:numId="9" w16cid:durableId="827287640">
    <w:abstractNumId w:val="6"/>
  </w:num>
  <w:num w:numId="10" w16cid:durableId="6772739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05E"/>
    <w:rsid w:val="0000651D"/>
    <w:rsid w:val="001739DB"/>
    <w:rsid w:val="001C3809"/>
    <w:rsid w:val="001D2B76"/>
    <w:rsid w:val="002950D4"/>
    <w:rsid w:val="002A74FA"/>
    <w:rsid w:val="002B767A"/>
    <w:rsid w:val="00340F95"/>
    <w:rsid w:val="003841E3"/>
    <w:rsid w:val="004B27CB"/>
    <w:rsid w:val="005B0842"/>
    <w:rsid w:val="005B71C8"/>
    <w:rsid w:val="0062269D"/>
    <w:rsid w:val="0062668F"/>
    <w:rsid w:val="006B43DD"/>
    <w:rsid w:val="00700C66"/>
    <w:rsid w:val="007074FF"/>
    <w:rsid w:val="00790D69"/>
    <w:rsid w:val="008D6190"/>
    <w:rsid w:val="0096665E"/>
    <w:rsid w:val="009B44E7"/>
    <w:rsid w:val="009F49C0"/>
    <w:rsid w:val="00A36A81"/>
    <w:rsid w:val="00A3705E"/>
    <w:rsid w:val="00B973D6"/>
    <w:rsid w:val="00BB1AF9"/>
    <w:rsid w:val="00BC04D8"/>
    <w:rsid w:val="00D546C2"/>
    <w:rsid w:val="00DA1C47"/>
    <w:rsid w:val="00F721BB"/>
    <w:rsid w:val="00FD64F2"/>
    <w:rsid w:val="00FE7E67"/>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83E3F"/>
  <w15:chartTrackingRefBased/>
  <w15:docId w15:val="{DC6ADCFC-9480-4962-B587-739BCEA7C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1AF9"/>
    <w:rPr>
      <w:rFonts w:eastAsiaTheme="minorHAnsi"/>
      <w:lang w:eastAsia="en-US"/>
    </w:rPr>
  </w:style>
  <w:style w:type="paragraph" w:styleId="Ttulo1">
    <w:name w:val="heading 1"/>
    <w:basedOn w:val="Normal"/>
    <w:next w:val="Normal"/>
    <w:link w:val="Ttulo1Car"/>
    <w:uiPriority w:val="9"/>
    <w:qFormat/>
    <w:rsid w:val="00A370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370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370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370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370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370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70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70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70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70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370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370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370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370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370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70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70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705E"/>
    <w:rPr>
      <w:rFonts w:eastAsiaTheme="majorEastAsia" w:cstheme="majorBidi"/>
      <w:color w:val="272727" w:themeColor="text1" w:themeTint="D8"/>
    </w:rPr>
  </w:style>
  <w:style w:type="paragraph" w:styleId="Ttulo">
    <w:name w:val="Title"/>
    <w:basedOn w:val="Normal"/>
    <w:next w:val="Normal"/>
    <w:link w:val="TtuloCar"/>
    <w:uiPriority w:val="10"/>
    <w:qFormat/>
    <w:rsid w:val="00A37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70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70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70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705E"/>
    <w:pPr>
      <w:spacing w:before="160"/>
      <w:jc w:val="center"/>
    </w:pPr>
    <w:rPr>
      <w:i/>
      <w:iCs/>
      <w:color w:val="404040" w:themeColor="text1" w:themeTint="BF"/>
    </w:rPr>
  </w:style>
  <w:style w:type="character" w:customStyle="1" w:styleId="CitaCar">
    <w:name w:val="Cita Car"/>
    <w:basedOn w:val="Fuentedeprrafopredeter"/>
    <w:link w:val="Cita"/>
    <w:uiPriority w:val="29"/>
    <w:rsid w:val="00A3705E"/>
    <w:rPr>
      <w:i/>
      <w:iCs/>
      <w:color w:val="404040" w:themeColor="text1" w:themeTint="BF"/>
    </w:rPr>
  </w:style>
  <w:style w:type="paragraph" w:styleId="Prrafodelista">
    <w:name w:val="List Paragraph"/>
    <w:basedOn w:val="Normal"/>
    <w:uiPriority w:val="34"/>
    <w:qFormat/>
    <w:rsid w:val="00A3705E"/>
    <w:pPr>
      <w:ind w:left="720"/>
      <w:contextualSpacing/>
    </w:pPr>
  </w:style>
  <w:style w:type="character" w:styleId="nfasisintenso">
    <w:name w:val="Intense Emphasis"/>
    <w:basedOn w:val="Fuentedeprrafopredeter"/>
    <w:uiPriority w:val="21"/>
    <w:qFormat/>
    <w:rsid w:val="00A3705E"/>
    <w:rPr>
      <w:i/>
      <w:iCs/>
      <w:color w:val="0F4761" w:themeColor="accent1" w:themeShade="BF"/>
    </w:rPr>
  </w:style>
  <w:style w:type="paragraph" w:styleId="Citadestacada">
    <w:name w:val="Intense Quote"/>
    <w:basedOn w:val="Normal"/>
    <w:next w:val="Normal"/>
    <w:link w:val="CitadestacadaCar"/>
    <w:uiPriority w:val="30"/>
    <w:qFormat/>
    <w:rsid w:val="00A370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3705E"/>
    <w:rPr>
      <w:i/>
      <w:iCs/>
      <w:color w:val="0F4761" w:themeColor="accent1" w:themeShade="BF"/>
    </w:rPr>
  </w:style>
  <w:style w:type="character" w:styleId="Referenciaintensa">
    <w:name w:val="Intense Reference"/>
    <w:basedOn w:val="Fuentedeprrafopredeter"/>
    <w:uiPriority w:val="32"/>
    <w:qFormat/>
    <w:rsid w:val="00A3705E"/>
    <w:rPr>
      <w:b/>
      <w:bCs/>
      <w:smallCaps/>
      <w:color w:val="0F4761" w:themeColor="accent1" w:themeShade="BF"/>
      <w:spacing w:val="5"/>
    </w:rPr>
  </w:style>
  <w:style w:type="paragraph" w:styleId="Encabezado">
    <w:name w:val="header"/>
    <w:basedOn w:val="Normal"/>
    <w:link w:val="EncabezadoCar"/>
    <w:uiPriority w:val="99"/>
    <w:unhideWhenUsed/>
    <w:rsid w:val="00BB1AF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B1AF9"/>
  </w:style>
  <w:style w:type="paragraph" w:styleId="Piedepgina">
    <w:name w:val="footer"/>
    <w:basedOn w:val="Normal"/>
    <w:link w:val="PiedepginaCar"/>
    <w:uiPriority w:val="99"/>
    <w:unhideWhenUsed/>
    <w:rsid w:val="00BB1AF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B1AF9"/>
  </w:style>
  <w:style w:type="paragraph" w:styleId="HTMLconformatoprevio">
    <w:name w:val="HTML Preformatted"/>
    <w:basedOn w:val="Normal"/>
    <w:link w:val="HTMLconformatoprevioCar"/>
    <w:uiPriority w:val="99"/>
    <w:semiHidden/>
    <w:unhideWhenUsed/>
    <w:rsid w:val="009F49C0"/>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F49C0"/>
    <w:rPr>
      <w:rFonts w:ascii="Consolas" w:eastAsiaTheme="minorHAnsi" w:hAnsi="Consola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16</Pages>
  <Words>4095</Words>
  <Characters>22524</Characters>
  <Application>Microsoft Office Word</Application>
  <DocSecurity>0</DocSecurity>
  <Lines>187</Lines>
  <Paragraphs>53</Paragraphs>
  <ScaleCrop>false</ScaleCrop>
  <Company/>
  <LinksUpToDate>false</LinksUpToDate>
  <CharactersWithSpaces>26566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27</cp:revision>
  <dcterms:created xsi:type="dcterms:W3CDTF">2026-01-09T08:04:00Z</dcterms:created>
  <dcterms:modified xsi:type="dcterms:W3CDTF">2026-01-09T08:34:00Z</dcterms:modified>
</cp:coreProperties>
</file>