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EDE2" w14:textId="4BAFF66F" w:rsidR="006B43DD" w:rsidRDefault="001C3809" w:rsidP="00BB1AF9">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sidR="006B43DD">
        <w:rPr>
          <w:rFonts w:ascii="Arial" w:hAnsi="Arial" w:cs="Arial"/>
          <w:b/>
          <w:bCs/>
          <w:color w:val="808080"/>
          <w:sz w:val="20"/>
          <w:szCs w:val="20"/>
        </w:rPr>
        <w:t>1</w:t>
      </w:r>
      <w:r w:rsidR="006B43DD"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4FD49988" w14:textId="26176DE0" w:rsidR="00BB1AF9" w:rsidRPr="007937F4" w:rsidRDefault="00BB1AF9" w:rsidP="00BB1AF9">
      <w:pPr>
        <w:spacing w:before="120" w:after="120" w:line="240" w:lineRule="atLeast"/>
        <w:rPr>
          <w:rFonts w:ascii="Arial" w:hAnsi="Arial" w:cs="Arial"/>
          <w:b/>
          <w:bCs/>
          <w:color w:val="808080"/>
          <w:sz w:val="20"/>
          <w:szCs w:val="20"/>
        </w:rPr>
      </w:pPr>
      <w:r w:rsidRPr="007937F4">
        <w:rPr>
          <w:rFonts w:ascii="Arial" w:hAnsi="Arial" w:cs="Arial"/>
          <w:b/>
          <w:bCs/>
          <w:color w:val="808080"/>
          <w:sz w:val="20"/>
          <w:szCs w:val="20"/>
        </w:rPr>
        <w:t>Comentario sentencia Cashpooling</w:t>
      </w:r>
    </w:p>
    <w:p w14:paraId="2A12DB30" w14:textId="77777777" w:rsidR="00BB1AF9" w:rsidRPr="007937F4" w:rsidRDefault="00BB1AF9" w:rsidP="00593D7A">
      <w:pPr>
        <w:spacing w:before="120" w:line="240" w:lineRule="atLeast"/>
        <w:jc w:val="both"/>
        <w:rPr>
          <w:rFonts w:ascii="Arial" w:hAnsi="Arial" w:cs="Arial"/>
          <w:color w:val="808080"/>
          <w:sz w:val="20"/>
          <w:szCs w:val="20"/>
        </w:rPr>
      </w:pPr>
      <w:r w:rsidRPr="007937F4">
        <w:rPr>
          <w:rFonts w:ascii="Arial" w:hAnsi="Arial" w:cs="Arial"/>
          <w:color w:val="808080"/>
          <w:sz w:val="20"/>
          <w:szCs w:val="20"/>
        </w:rPr>
        <w:t>Se ha identificado que la documentación de precios de transferencia de la Compañía correspondiente al sistema de cash pooling implementado presenta una asimetría en los tipos de interés aplicados a los saldos deudores y acreedores, lo cual podría no ajustarse al principio de plena competencia establecido en la normativa fiscal española y las directrices de la OCDE.</w:t>
      </w:r>
    </w:p>
    <w:p w14:paraId="306F7FAE" w14:textId="77777777" w:rsidR="00BB1AF9" w:rsidRPr="007937F4" w:rsidRDefault="00BB1AF9" w:rsidP="00BB1AF9">
      <w:p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En este sentido, es relevante destacar la reciente sentencia del Tribunal Supremo 985/2025, de 15 de julio, que establece doctrina en relación con la valoración de operaciones vinculadas en sistemas de cash pooling. En dicha sentencia, el Tribunal Supremo concluye que:</w:t>
      </w:r>
    </w:p>
    <w:p w14:paraId="4081F560" w14:textId="77777777" w:rsidR="00BB1AF9" w:rsidRPr="007937F4" w:rsidRDefault="00BB1AF9" w:rsidP="00BB1AF9">
      <w:pPr>
        <w:numPr>
          <w:ilvl w:val="0"/>
          <w:numId w:val="1"/>
        </w:num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Simetría en los tipos de interés: Los tipos de interés aplicados a las posiciones deudoras y acreedoras dentro de un sistema de cash pooling deben ser simétricos, salvo que existan justificaciones objetivas y razonables que permitan una diferencia en los tipos aplicados. Esta simetría es esencial para garantizar que las operaciones se realicen en condiciones de plena competencia, tal como lo exige la normativa fiscal española y las directrices de la OCDE.</w:t>
      </w:r>
    </w:p>
    <w:p w14:paraId="54AF426F" w14:textId="77777777" w:rsidR="00BB1AF9" w:rsidRPr="007937F4" w:rsidRDefault="00BB1AF9" w:rsidP="00BB1AF9">
      <w:pPr>
        <w:numPr>
          <w:ilvl w:val="0"/>
          <w:numId w:val="1"/>
        </w:num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Calificación de las operaciones: Las aportaciones de fondos realizadas por las filiales al sistema de cash pooling deben considerarse como préstamos intragrupo a corto plazo, y no como depósitos. Esta calificación es crucial para determinar la adecuada aplicación de los tipos de interés y la correcta documentación de las operaciones.</w:t>
      </w:r>
    </w:p>
    <w:p w14:paraId="62947F01" w14:textId="77777777" w:rsidR="00BB1AF9" w:rsidRPr="007937F4" w:rsidRDefault="00BB1AF9" w:rsidP="00BB1AF9">
      <w:pPr>
        <w:numPr>
          <w:ilvl w:val="0"/>
          <w:numId w:val="1"/>
        </w:num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 xml:space="preserve">Calificación crediticia: La calificación crediticia aplicable para la determinación de los tipos de interés debe ser la del grupo multinacional en su conjunto, y no la de la filial individual. Este enfoque refleja de manera más precisa el perfil de riesgo del grupo </w:t>
      </w:r>
      <w:r w:rsidRPr="007937F4">
        <w:rPr>
          <w:rFonts w:ascii="Arial" w:hAnsi="Arial" w:cs="Arial"/>
          <w:color w:val="808080"/>
          <w:sz w:val="20"/>
          <w:szCs w:val="20"/>
        </w:rPr>
        <w:t>y asegura que las operaciones se valoren en condiciones de plena competencia.</w:t>
      </w:r>
    </w:p>
    <w:p w14:paraId="75D92BAB" w14:textId="77777777" w:rsidR="00BB1AF9" w:rsidRPr="007937F4" w:rsidRDefault="00BB1AF9" w:rsidP="00BB1AF9">
      <w:pPr>
        <w:numPr>
          <w:ilvl w:val="0"/>
          <w:numId w:val="1"/>
        </w:num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Remuneración de la entidad líder: La entidad que actúa como líder en el sistema de cash pooling debe ser remunerada por sus funciones de coordinación y gestión, y dicha remuneración debe ser acorde con su perfil funcional. No se debe permitir que la entidad líder obtenga beneficios adicionales derivados de la asimetría en los tipos de interés aplicados a las posiciones deudoras y acreedoras.</w:t>
      </w:r>
    </w:p>
    <w:p w14:paraId="276D24F3" w14:textId="77777777" w:rsidR="00BB1AF9" w:rsidRPr="007937F4" w:rsidRDefault="00BB1AF9" w:rsidP="00BB1AF9">
      <w:p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En virtud de lo anterior, se recomienda a la Compañía revisar la documentación de precios de transferencia relacionada con el sistema de cash pooling para asegurar que:</w:t>
      </w:r>
    </w:p>
    <w:p w14:paraId="212F526D" w14:textId="77777777" w:rsidR="00BB1AF9" w:rsidRPr="007937F4" w:rsidRDefault="00BB1AF9" w:rsidP="00BB1AF9">
      <w:pPr>
        <w:numPr>
          <w:ilvl w:val="0"/>
          <w:numId w:val="2"/>
        </w:num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Los tipos de interés aplicados a los saldos deudores y acreedores sean simétricos, salvo que existan justificaciones objetivas y razonables que permitan una diferencia.</w:t>
      </w:r>
    </w:p>
    <w:p w14:paraId="2F79D266" w14:textId="77777777" w:rsidR="00BB1AF9" w:rsidRPr="007937F4" w:rsidRDefault="00BB1AF9" w:rsidP="00BB1AF9">
      <w:pPr>
        <w:numPr>
          <w:ilvl w:val="0"/>
          <w:numId w:val="2"/>
        </w:num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Las aportaciones de fondos se califiquen correctamente como préstamos intragrupo a corto plazo.</w:t>
      </w:r>
    </w:p>
    <w:p w14:paraId="6F8972BC" w14:textId="77777777" w:rsidR="00BB1AF9" w:rsidRPr="007937F4" w:rsidRDefault="00BB1AF9" w:rsidP="00BB1AF9">
      <w:pPr>
        <w:numPr>
          <w:ilvl w:val="0"/>
          <w:numId w:val="2"/>
        </w:num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La calificación crediticia aplicada sea la del grupo multinacional en su conjunto.</w:t>
      </w:r>
    </w:p>
    <w:p w14:paraId="070394C8" w14:textId="77777777" w:rsidR="00BB1AF9" w:rsidRPr="007937F4" w:rsidRDefault="00BB1AF9" w:rsidP="00BB1AF9">
      <w:pPr>
        <w:numPr>
          <w:ilvl w:val="0"/>
          <w:numId w:val="2"/>
        </w:num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La remuneración de la entidad líder se ajuste a su perfil funcional y no derive beneficios adicionales de la asimetría en los tipos de interés.</w:t>
      </w:r>
    </w:p>
    <w:p w14:paraId="2F6F6126" w14:textId="77777777" w:rsidR="00BB1AF9" w:rsidRPr="007937F4" w:rsidRDefault="00BB1AF9" w:rsidP="00BB1AF9">
      <w:pPr>
        <w:spacing w:before="120" w:after="120" w:line="240" w:lineRule="atLeast"/>
        <w:jc w:val="both"/>
        <w:rPr>
          <w:rFonts w:ascii="Arial" w:hAnsi="Arial" w:cs="Arial"/>
          <w:color w:val="808080"/>
          <w:sz w:val="20"/>
          <w:szCs w:val="20"/>
        </w:rPr>
      </w:pPr>
      <w:r w:rsidRPr="007937F4">
        <w:rPr>
          <w:rFonts w:ascii="Arial" w:hAnsi="Arial" w:cs="Arial"/>
          <w:color w:val="808080"/>
          <w:sz w:val="20"/>
          <w:szCs w:val="20"/>
        </w:rPr>
        <w:t>Esta revisión es esencial para garantizar el cumplimiento de las obligaciones fiscales y evitar posibles contingencias tributarias derivadas de la no aplicación del principio de plena competencia en las operaciones vinculadas.</w:t>
      </w:r>
    </w:p>
    <w:p w14:paraId="527A01A1" w14:textId="343C7756" w:rsidR="009B44E7" w:rsidRPr="009F49C0" w:rsidRDefault="009B44E7"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w:t>
      </w:r>
      <w:r w:rsidRPr="006B43DD">
        <w:rPr>
          <w:rFonts w:ascii="Arial" w:hAnsi="Arial" w:cs="Arial"/>
          <w:b/>
          <w:bCs/>
          <w:color w:val="808080"/>
          <w:sz w:val="20"/>
          <w:szCs w:val="20"/>
        </w:rPr>
        <w:t>_</w:t>
      </w:r>
      <w:r w:rsidR="009F49C0"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145C3D2D" w14:textId="77777777" w:rsidR="005B71C8" w:rsidRDefault="005B71C8"/>
    <w:p w14:paraId="086FF003" w14:textId="35A0F13E" w:rsidR="001C3809" w:rsidRDefault="001C3809" w:rsidP="001C3809">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lastRenderedPageBreak/>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2</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01F5D041" w14:textId="77777777" w:rsidR="00700C66" w:rsidRPr="00E95B42" w:rsidRDefault="00700C66" w:rsidP="00700C66">
      <w:pPr>
        <w:spacing w:before="120" w:after="120" w:line="240" w:lineRule="atLeast"/>
        <w:jc w:val="both"/>
        <w:rPr>
          <w:rFonts w:ascii="Arial" w:hAnsi="Arial" w:cs="Arial"/>
          <w:b/>
          <w:bCs/>
          <w:color w:val="808080"/>
          <w:sz w:val="20"/>
          <w:szCs w:val="20"/>
        </w:rPr>
      </w:pPr>
      <w:r w:rsidRPr="00E95B42">
        <w:rPr>
          <w:rFonts w:ascii="Arial" w:hAnsi="Arial" w:cs="Arial"/>
          <w:b/>
          <w:bCs/>
          <w:color w:val="808080"/>
          <w:sz w:val="20"/>
          <w:szCs w:val="20"/>
        </w:rPr>
        <w:t>Comentarios Idioma distinto al inglés y/o Español</w:t>
      </w:r>
    </w:p>
    <w:p w14:paraId="4E42F181" w14:textId="77777777" w:rsidR="00700C66" w:rsidRPr="00E95B42" w:rsidRDefault="00700C66" w:rsidP="00700C66">
      <w:pPr>
        <w:spacing w:before="120" w:after="120" w:line="240" w:lineRule="atLeast"/>
        <w:jc w:val="both"/>
        <w:rPr>
          <w:rFonts w:ascii="Arial" w:hAnsi="Arial" w:cs="Arial"/>
          <w:color w:val="808080"/>
          <w:sz w:val="20"/>
          <w:szCs w:val="20"/>
        </w:rPr>
      </w:pPr>
      <w:r w:rsidRPr="00E95B42">
        <w:rPr>
          <w:rFonts w:ascii="Arial" w:hAnsi="Arial" w:cs="Arial"/>
          <w:color w:val="808080"/>
          <w:sz w:val="20"/>
          <w:szCs w:val="20"/>
        </w:rPr>
        <w:t>La documentación de precios de transferencia analizada se encuentra redactada en [idioma].</w:t>
      </w:r>
    </w:p>
    <w:p w14:paraId="7937BBED" w14:textId="77777777" w:rsidR="00700C66" w:rsidRPr="00E95B42" w:rsidRDefault="00700C66" w:rsidP="00700C66">
      <w:pPr>
        <w:spacing w:before="120" w:after="120" w:line="240" w:lineRule="atLeast"/>
        <w:jc w:val="both"/>
        <w:rPr>
          <w:rFonts w:ascii="Arial" w:hAnsi="Arial" w:cs="Arial"/>
          <w:color w:val="808080"/>
          <w:sz w:val="20"/>
          <w:szCs w:val="20"/>
        </w:rPr>
      </w:pPr>
      <w:r w:rsidRPr="00E95B42">
        <w:rPr>
          <w:rFonts w:ascii="Arial" w:hAnsi="Arial" w:cs="Arial"/>
          <w:color w:val="808080"/>
          <w:sz w:val="20"/>
          <w:szCs w:val="20"/>
        </w:rPr>
        <w:t>De conformidad con lo dispuesto en el artículo 15 de la Ley 39/2015, de 1 de octubre, del Procedimiento Administrativo Común de las Administraciones Públicas, así como en el artículo 106.1 de la Ley 58/2003, General Tributaria (LGT) y el artículo 144 de la Ley 1/2000, de Enjuiciamiento Civil (LEC), la lengua de los procedimientos tramitados ante la Administración General del Estado es el castellano.</w:t>
      </w:r>
    </w:p>
    <w:p w14:paraId="6A3170AD" w14:textId="77777777" w:rsidR="00700C66" w:rsidRPr="00E95B42" w:rsidRDefault="00700C66" w:rsidP="00700C66">
      <w:pPr>
        <w:spacing w:before="120" w:after="120" w:line="240" w:lineRule="atLeast"/>
        <w:jc w:val="both"/>
        <w:rPr>
          <w:rFonts w:ascii="Arial" w:hAnsi="Arial" w:cs="Arial"/>
          <w:color w:val="808080"/>
          <w:sz w:val="20"/>
          <w:szCs w:val="20"/>
        </w:rPr>
      </w:pPr>
      <w:r w:rsidRPr="00E95B42">
        <w:rPr>
          <w:rFonts w:ascii="Arial" w:hAnsi="Arial" w:cs="Arial"/>
          <w:color w:val="808080"/>
          <w:sz w:val="20"/>
          <w:szCs w:val="20"/>
        </w:rPr>
        <w:t>No obstante, el Foro Conjunto de la Unión Europea sobre Precios de Transferencia  ha expresado un consenso general según el cual no debería exigirse de forma sistemática la traducción de la documentación al idioma oficial de cada Estado miembro. El citado Foro recomienda que las administraciones acepten, siempre que sea posible, documentación en lenguas de uso común en el ámbito económico internacional, como el inglés, con el fin de reducir costes y agilizar los procedimientos.</w:t>
      </w:r>
    </w:p>
    <w:p w14:paraId="05BC872D" w14:textId="77777777" w:rsidR="00700C66" w:rsidRPr="00E95B42" w:rsidRDefault="00700C66" w:rsidP="00700C66">
      <w:pPr>
        <w:spacing w:before="120" w:after="120" w:line="240" w:lineRule="atLeast"/>
        <w:jc w:val="both"/>
        <w:rPr>
          <w:rFonts w:ascii="Arial" w:hAnsi="Arial" w:cs="Arial"/>
          <w:color w:val="808080"/>
          <w:sz w:val="20"/>
          <w:szCs w:val="20"/>
        </w:rPr>
      </w:pPr>
      <w:r w:rsidRPr="00E95B42">
        <w:rPr>
          <w:rFonts w:ascii="Arial" w:hAnsi="Arial" w:cs="Arial"/>
          <w:color w:val="808080"/>
          <w:sz w:val="20"/>
          <w:szCs w:val="20"/>
        </w:rPr>
        <w:t>Sin perjuicio de lo anterior, dado que la aceptación de documentación en idioma distinto del castellano depende del criterio de la Administración tributaria española, se recomienda disponer de una versión traducida al castellano de los documentos presentados.</w:t>
      </w:r>
    </w:p>
    <w:p w14:paraId="2C9A7329" w14:textId="77777777" w:rsidR="00700C66" w:rsidRPr="00E95B42" w:rsidRDefault="00700C66" w:rsidP="00700C66">
      <w:pPr>
        <w:spacing w:before="120" w:after="120" w:line="240" w:lineRule="atLeast"/>
        <w:jc w:val="both"/>
        <w:rPr>
          <w:rFonts w:ascii="Arial" w:hAnsi="Arial" w:cs="Arial"/>
          <w:color w:val="808080"/>
          <w:sz w:val="20"/>
          <w:szCs w:val="20"/>
        </w:rPr>
      </w:pPr>
      <w:r w:rsidRPr="00E95B42">
        <w:rPr>
          <w:rFonts w:ascii="Arial" w:hAnsi="Arial" w:cs="Arial"/>
          <w:color w:val="808080"/>
          <w:sz w:val="20"/>
          <w:szCs w:val="20"/>
        </w:rPr>
        <w:t>Contar con dicha traducción permitirá evitar incidencias formales en una eventual actuación de comprobación o inspección, en la que la Administración podría requerir la traducción preceptiva al castellano —o, en su caso, al inglés— para su correcta valoración.</w:t>
      </w:r>
    </w:p>
    <w:p w14:paraId="07EB0395" w14:textId="757AC8F7"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2</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3C40AD02" w14:textId="77777777" w:rsidR="00700C66" w:rsidRPr="00E95B42" w:rsidRDefault="00700C66" w:rsidP="00700C66">
      <w:pPr>
        <w:spacing w:before="120" w:after="120" w:line="240" w:lineRule="atLeast"/>
        <w:rPr>
          <w:rFonts w:ascii="Arial" w:hAnsi="Arial" w:cs="Arial"/>
          <w:color w:val="808080"/>
          <w:sz w:val="20"/>
          <w:szCs w:val="20"/>
        </w:rPr>
      </w:pPr>
    </w:p>
    <w:p w14:paraId="2F72B1D8" w14:textId="77777777" w:rsidR="0037013C" w:rsidRDefault="0037013C" w:rsidP="001C3809">
      <w:pPr>
        <w:spacing w:before="120" w:after="120" w:line="240" w:lineRule="atLeast"/>
      </w:pPr>
    </w:p>
    <w:p w14:paraId="7B0F5285" w14:textId="4FB6B60B" w:rsidR="002B767A" w:rsidRPr="001C3809" w:rsidRDefault="001C3809" w:rsidP="001C3809">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3</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1C5E1318" w14:textId="77777777" w:rsidR="002A74FA" w:rsidRPr="00D335E2" w:rsidRDefault="002A74FA" w:rsidP="002A74FA">
      <w:pPr>
        <w:rPr>
          <w:rFonts w:ascii="Arial" w:hAnsi="Arial" w:cs="Arial"/>
          <w:b/>
          <w:bCs/>
          <w:color w:val="808080"/>
          <w:sz w:val="20"/>
          <w:szCs w:val="20"/>
        </w:rPr>
      </w:pPr>
      <w:r w:rsidRPr="00D335E2">
        <w:rPr>
          <w:rFonts w:ascii="Arial" w:hAnsi="Arial" w:cs="Arial"/>
          <w:b/>
          <w:bCs/>
          <w:color w:val="808080"/>
          <w:sz w:val="20"/>
          <w:szCs w:val="20"/>
        </w:rPr>
        <w:t>Diferencias 232, CCAA y Local File</w:t>
      </w:r>
    </w:p>
    <w:p w14:paraId="600F458D" w14:textId="77777777" w:rsidR="002A74FA" w:rsidRPr="00C30353" w:rsidRDefault="002A74FA" w:rsidP="002A74FA">
      <w:pPr>
        <w:spacing w:before="120" w:after="120" w:line="240" w:lineRule="atLeast"/>
        <w:jc w:val="both"/>
        <w:rPr>
          <w:rFonts w:ascii="Arial" w:hAnsi="Arial" w:cs="Arial"/>
          <w:color w:val="808080"/>
          <w:sz w:val="20"/>
          <w:szCs w:val="20"/>
        </w:rPr>
      </w:pPr>
      <w:r w:rsidRPr="00C30353">
        <w:rPr>
          <w:rFonts w:ascii="Arial" w:hAnsi="Arial" w:cs="Arial"/>
          <w:color w:val="808080"/>
          <w:sz w:val="20"/>
          <w:szCs w:val="20"/>
        </w:rPr>
        <w:t>Se han detectado inconsistencias entre los importes declarados en el Modelo 232 y los recogidos en las cuentas anuales de la Compañía, concretamente en relación con [insertar operativa].</w:t>
      </w:r>
      <w:r w:rsidRPr="00C30353">
        <w:rPr>
          <w:rFonts w:ascii="Arial" w:hAnsi="Arial" w:cs="Arial"/>
          <w:color w:val="808080"/>
          <w:sz w:val="20"/>
          <w:szCs w:val="20"/>
        </w:rPr>
        <w:br/>
        <w:t>En el Modelo 232 se ha declarado un importe de XX.XXX euros, mientras que en las cuentas anuales figura un importe de XX.XXX euros.</w:t>
      </w:r>
    </w:p>
    <w:p w14:paraId="44EC1727" w14:textId="77777777" w:rsidR="002A74FA" w:rsidRPr="00C30353" w:rsidRDefault="002A74FA" w:rsidP="002A74FA">
      <w:pPr>
        <w:spacing w:before="120" w:after="120" w:line="240" w:lineRule="atLeast"/>
        <w:jc w:val="both"/>
        <w:rPr>
          <w:rFonts w:ascii="Arial" w:hAnsi="Arial" w:cs="Arial"/>
          <w:color w:val="808080"/>
          <w:sz w:val="20"/>
          <w:szCs w:val="20"/>
        </w:rPr>
      </w:pPr>
      <w:r w:rsidRPr="00C30353">
        <w:rPr>
          <w:rFonts w:ascii="Arial" w:hAnsi="Arial" w:cs="Arial"/>
          <w:color w:val="808080"/>
          <w:sz w:val="20"/>
          <w:szCs w:val="20"/>
        </w:rPr>
        <w:t>De acuerdo con lo previsto en el artículo 18.3 de la Ley del Impuesto sobre Sociedades, el artículo 16 del Reglamento del Impuesto sobre Sociedades, y la Orden HFP/816/2017, los importes declarados y los métodos de valoración consignados en el Modelo 232 deben reflejar de manera consistente la información contenida en la documentación de precios de transferencia y en la contabilidad oficial.</w:t>
      </w:r>
    </w:p>
    <w:p w14:paraId="30410058" w14:textId="77777777" w:rsidR="002A74FA" w:rsidRPr="00C30353" w:rsidRDefault="002A74FA" w:rsidP="002A74FA">
      <w:pPr>
        <w:spacing w:before="120" w:after="120" w:line="240" w:lineRule="atLeast"/>
        <w:jc w:val="both"/>
        <w:rPr>
          <w:rFonts w:ascii="Arial" w:hAnsi="Arial" w:cs="Arial"/>
          <w:color w:val="808080"/>
          <w:sz w:val="20"/>
          <w:szCs w:val="20"/>
        </w:rPr>
      </w:pPr>
      <w:r w:rsidRPr="00C30353">
        <w:rPr>
          <w:rFonts w:ascii="Arial" w:hAnsi="Arial" w:cs="Arial"/>
          <w:color w:val="808080"/>
          <w:sz w:val="20"/>
          <w:szCs w:val="20"/>
        </w:rPr>
        <w:t>En este sentido, se recomienda revisar la coherencia interna de la información declarada, asegurando que:</w:t>
      </w:r>
    </w:p>
    <w:p w14:paraId="48B70D41" w14:textId="77777777" w:rsidR="002A74FA" w:rsidRPr="00C30353" w:rsidRDefault="002A74FA" w:rsidP="002A74FA">
      <w:pPr>
        <w:numPr>
          <w:ilvl w:val="0"/>
          <w:numId w:val="3"/>
        </w:numPr>
        <w:spacing w:before="120" w:after="120" w:line="240" w:lineRule="atLeast"/>
        <w:jc w:val="both"/>
        <w:rPr>
          <w:rFonts w:ascii="Arial" w:hAnsi="Arial" w:cs="Arial"/>
          <w:color w:val="808080"/>
          <w:sz w:val="20"/>
          <w:szCs w:val="20"/>
        </w:rPr>
      </w:pPr>
      <w:r w:rsidRPr="00C30353">
        <w:rPr>
          <w:rFonts w:ascii="Arial" w:hAnsi="Arial" w:cs="Arial"/>
          <w:color w:val="808080"/>
          <w:sz w:val="20"/>
          <w:szCs w:val="20"/>
        </w:rPr>
        <w:t>Los importes y conceptos coincidan con los reflejados en las cuentas anuales y en la documentación de precios de transferencia.</w:t>
      </w:r>
    </w:p>
    <w:p w14:paraId="318455EC" w14:textId="77777777" w:rsidR="002A74FA" w:rsidRPr="00C30353" w:rsidRDefault="002A74FA" w:rsidP="002A74FA">
      <w:pPr>
        <w:numPr>
          <w:ilvl w:val="0"/>
          <w:numId w:val="3"/>
        </w:numPr>
        <w:spacing w:before="120" w:after="120" w:line="240" w:lineRule="atLeast"/>
        <w:jc w:val="both"/>
        <w:rPr>
          <w:rFonts w:ascii="Arial" w:hAnsi="Arial" w:cs="Arial"/>
          <w:color w:val="808080"/>
          <w:sz w:val="20"/>
          <w:szCs w:val="20"/>
        </w:rPr>
      </w:pPr>
      <w:r w:rsidRPr="00C30353">
        <w:rPr>
          <w:rFonts w:ascii="Arial" w:hAnsi="Arial" w:cs="Arial"/>
          <w:color w:val="808080"/>
          <w:sz w:val="20"/>
          <w:szCs w:val="20"/>
        </w:rPr>
        <w:t>El método de valoración declarado en el Modelo 232 sea el mismo que el efectivamente aplicado en la documentación.</w:t>
      </w:r>
    </w:p>
    <w:p w14:paraId="3CE11A5F" w14:textId="77777777" w:rsidR="002A74FA" w:rsidRPr="00C30353" w:rsidRDefault="002A74FA" w:rsidP="002A74FA">
      <w:pPr>
        <w:numPr>
          <w:ilvl w:val="0"/>
          <w:numId w:val="3"/>
        </w:numPr>
        <w:spacing w:before="120" w:after="120" w:line="240" w:lineRule="atLeast"/>
        <w:jc w:val="both"/>
        <w:rPr>
          <w:rFonts w:ascii="Arial" w:hAnsi="Arial" w:cs="Arial"/>
          <w:color w:val="808080"/>
          <w:sz w:val="20"/>
          <w:szCs w:val="20"/>
        </w:rPr>
      </w:pPr>
      <w:r w:rsidRPr="00C30353">
        <w:rPr>
          <w:rFonts w:ascii="Arial" w:hAnsi="Arial" w:cs="Arial"/>
          <w:color w:val="808080"/>
          <w:sz w:val="20"/>
          <w:szCs w:val="20"/>
        </w:rPr>
        <w:t>Se disponga de un cuadro de conciliación interna que justifique posibles diferencias derivadas de ajustes contables o periodificaciones.</w:t>
      </w:r>
    </w:p>
    <w:p w14:paraId="22BD8DF9" w14:textId="77777777" w:rsidR="002A74FA" w:rsidRPr="00C30353" w:rsidRDefault="002A74FA" w:rsidP="002A74FA">
      <w:pPr>
        <w:spacing w:before="120" w:after="120" w:line="240" w:lineRule="atLeast"/>
        <w:jc w:val="both"/>
        <w:rPr>
          <w:rFonts w:ascii="Arial" w:hAnsi="Arial" w:cs="Arial"/>
          <w:color w:val="808080"/>
          <w:sz w:val="20"/>
          <w:szCs w:val="20"/>
        </w:rPr>
      </w:pPr>
      <w:r w:rsidRPr="00C30353">
        <w:rPr>
          <w:rFonts w:ascii="Arial" w:hAnsi="Arial" w:cs="Arial"/>
          <w:color w:val="808080"/>
          <w:sz w:val="20"/>
          <w:szCs w:val="20"/>
        </w:rPr>
        <w:t>Esta revisión reforzará la consistencia y trazabilidad del cumplimiento fiscal, reduciendo el riesgo de requerimientos o ajustes por parte de la Administración Tributaria.</w:t>
      </w:r>
    </w:p>
    <w:p w14:paraId="2D5615BC" w14:textId="34FCB15F"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3</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3C359CBC" w14:textId="77777777" w:rsidR="002B767A" w:rsidRDefault="002B767A"/>
    <w:p w14:paraId="2515819F" w14:textId="77777777" w:rsidR="001D2B76" w:rsidRDefault="001D2B76"/>
    <w:p w14:paraId="21282276" w14:textId="77777777" w:rsidR="001D2B76" w:rsidRDefault="001D2B76"/>
    <w:p w14:paraId="0445B45A" w14:textId="77777777" w:rsidR="001D2B76" w:rsidRDefault="001D2B76"/>
    <w:p w14:paraId="75A27324" w14:textId="77777777" w:rsidR="001D2B76" w:rsidRDefault="001D2B76"/>
    <w:p w14:paraId="4406C591" w14:textId="77777777" w:rsidR="001D2B76" w:rsidRDefault="001D2B76"/>
    <w:p w14:paraId="7B339897" w14:textId="77777777" w:rsidR="001D2B76" w:rsidRDefault="001D2B76"/>
    <w:p w14:paraId="7945415A" w14:textId="77777777" w:rsidR="001D2B76" w:rsidRDefault="001D2B76"/>
    <w:p w14:paraId="3803D034" w14:textId="77777777" w:rsidR="001D2B76" w:rsidRDefault="001D2B76"/>
    <w:p w14:paraId="7D1BC0C6" w14:textId="77777777" w:rsidR="001D2B76" w:rsidRDefault="001D2B76"/>
    <w:p w14:paraId="4847D337" w14:textId="77777777" w:rsidR="001D2B76" w:rsidRDefault="001D2B76"/>
    <w:p w14:paraId="4A370FC2" w14:textId="77777777" w:rsidR="001D2B76" w:rsidRDefault="001D2B76"/>
    <w:p w14:paraId="500B0831" w14:textId="77777777" w:rsidR="001D2B76" w:rsidRDefault="001D2B76"/>
    <w:p w14:paraId="0C77D47D" w14:textId="77777777" w:rsidR="001D2B76" w:rsidRDefault="001D2B76"/>
    <w:p w14:paraId="2973E8B5" w14:textId="77777777" w:rsidR="0037013C" w:rsidRDefault="0037013C" w:rsidP="001C3809">
      <w:pPr>
        <w:spacing w:before="120" w:after="120" w:line="240" w:lineRule="atLeast"/>
        <w:rPr>
          <w:rFonts w:ascii="Microsoft YaHei" w:eastAsia="Microsoft YaHei" w:hAnsi="Microsoft YaHei" w:cs="Microsoft YaHei"/>
          <w:b/>
          <w:bCs/>
          <w:color w:val="808080"/>
          <w:sz w:val="20"/>
          <w:szCs w:val="20"/>
        </w:rPr>
      </w:pPr>
    </w:p>
    <w:p w14:paraId="19E8E3EF" w14:textId="77777777" w:rsidR="0037013C" w:rsidRDefault="0037013C" w:rsidP="001C3809">
      <w:pPr>
        <w:spacing w:before="120" w:after="120" w:line="240" w:lineRule="atLeast"/>
        <w:rPr>
          <w:rFonts w:ascii="Microsoft YaHei" w:eastAsia="Microsoft YaHei" w:hAnsi="Microsoft YaHei" w:cs="Microsoft YaHei"/>
          <w:b/>
          <w:bCs/>
          <w:color w:val="808080"/>
          <w:sz w:val="20"/>
          <w:szCs w:val="20"/>
        </w:rPr>
      </w:pPr>
    </w:p>
    <w:p w14:paraId="5514BB62" w14:textId="77777777" w:rsidR="0037013C" w:rsidRDefault="0037013C" w:rsidP="001C3809">
      <w:pPr>
        <w:spacing w:before="120" w:after="120" w:line="240" w:lineRule="atLeast"/>
        <w:rPr>
          <w:rFonts w:ascii="Microsoft YaHei" w:eastAsia="Microsoft YaHei" w:hAnsi="Microsoft YaHei" w:cs="Microsoft YaHei"/>
          <w:b/>
          <w:bCs/>
          <w:color w:val="808080"/>
          <w:sz w:val="20"/>
          <w:szCs w:val="20"/>
        </w:rPr>
      </w:pPr>
    </w:p>
    <w:p w14:paraId="2C964408" w14:textId="77777777" w:rsidR="0037013C" w:rsidRDefault="0037013C" w:rsidP="001C3809">
      <w:pPr>
        <w:spacing w:before="120" w:after="120" w:line="240" w:lineRule="atLeast"/>
        <w:rPr>
          <w:rFonts w:ascii="Microsoft YaHei" w:eastAsia="Microsoft YaHei" w:hAnsi="Microsoft YaHei" w:cs="Microsoft YaHei"/>
          <w:b/>
          <w:bCs/>
          <w:color w:val="808080"/>
          <w:sz w:val="20"/>
          <w:szCs w:val="20"/>
        </w:rPr>
      </w:pPr>
    </w:p>
    <w:p w14:paraId="0EA0F377" w14:textId="1765846F" w:rsidR="001D2B76" w:rsidRPr="001C3809" w:rsidRDefault="001C3809" w:rsidP="001C3809">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4</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2CACE12F" w14:textId="77777777" w:rsidR="001D2B76" w:rsidRPr="00CF47E8" w:rsidRDefault="001D2B76" w:rsidP="001D2B76">
      <w:pPr>
        <w:rPr>
          <w:rFonts w:ascii="Arial" w:hAnsi="Arial" w:cs="Arial"/>
          <w:b/>
          <w:bCs/>
          <w:color w:val="808080"/>
          <w:sz w:val="20"/>
          <w:szCs w:val="20"/>
        </w:rPr>
      </w:pPr>
      <w:r w:rsidRPr="00CF47E8">
        <w:rPr>
          <w:rFonts w:ascii="Arial" w:hAnsi="Arial" w:cs="Arial"/>
          <w:b/>
          <w:bCs/>
          <w:color w:val="808080"/>
          <w:sz w:val="20"/>
          <w:szCs w:val="20"/>
        </w:rPr>
        <w:t>Documentación en formato borrador</w:t>
      </w:r>
    </w:p>
    <w:p w14:paraId="7F47A1FC" w14:textId="77777777" w:rsidR="001D2B76" w:rsidRPr="003F3BC3" w:rsidRDefault="001D2B76" w:rsidP="001D2B76">
      <w:pPr>
        <w:spacing w:before="120" w:after="120" w:line="240" w:lineRule="atLeast"/>
        <w:jc w:val="both"/>
        <w:rPr>
          <w:rFonts w:ascii="Arial" w:hAnsi="Arial" w:cs="Arial"/>
          <w:color w:val="808080"/>
          <w:sz w:val="20"/>
          <w:szCs w:val="20"/>
        </w:rPr>
      </w:pPr>
      <w:r w:rsidRPr="003F3BC3">
        <w:rPr>
          <w:rFonts w:ascii="Arial" w:hAnsi="Arial" w:cs="Arial"/>
          <w:color w:val="808080"/>
          <w:sz w:val="20"/>
          <w:szCs w:val="20"/>
        </w:rPr>
        <w:t>Se ha verificado que la documentación de precios de transferencia revisada -concretamente [indicar la documentación en formato borrador]- se encuentra aún en fase de borrador.</w:t>
      </w:r>
    </w:p>
    <w:p w14:paraId="7A1E3F8C" w14:textId="77777777" w:rsidR="001D2B76" w:rsidRPr="003F3BC3" w:rsidRDefault="001D2B76" w:rsidP="001D2B76">
      <w:pPr>
        <w:spacing w:before="120" w:after="120" w:line="240" w:lineRule="atLeast"/>
        <w:jc w:val="both"/>
        <w:rPr>
          <w:rFonts w:ascii="Arial" w:hAnsi="Arial" w:cs="Arial"/>
          <w:color w:val="808080"/>
          <w:sz w:val="20"/>
          <w:szCs w:val="20"/>
        </w:rPr>
      </w:pPr>
      <w:r w:rsidRPr="003F3BC3">
        <w:rPr>
          <w:rFonts w:ascii="Arial" w:hAnsi="Arial" w:cs="Arial"/>
          <w:color w:val="808080"/>
          <w:sz w:val="20"/>
          <w:szCs w:val="20"/>
        </w:rPr>
        <w:t>De acuerdo con lo dispuesto en los artículos 18.3 de la Ley del Impuesto sobre Sociedades (LIS) y 15 del Reglamento del Impuesto sobre Sociedades (RIS), la documentación de operaciones vinculadas debe estar finalizada y disponible en el momento de la presentación de la declaración del impuesto, a fin de poder ser aportada ante la Administración Tributaria en caso de requerimiento.</w:t>
      </w:r>
    </w:p>
    <w:p w14:paraId="7578D990" w14:textId="77777777" w:rsidR="001D2B76" w:rsidRPr="003F3BC3" w:rsidRDefault="001D2B76" w:rsidP="001D2B76">
      <w:pPr>
        <w:spacing w:before="120" w:after="120" w:line="240" w:lineRule="atLeast"/>
        <w:jc w:val="both"/>
        <w:rPr>
          <w:rFonts w:ascii="Arial" w:hAnsi="Arial" w:cs="Arial"/>
          <w:color w:val="808080"/>
          <w:sz w:val="20"/>
          <w:szCs w:val="20"/>
        </w:rPr>
      </w:pPr>
      <w:r w:rsidRPr="003F3BC3">
        <w:rPr>
          <w:rFonts w:ascii="Arial" w:hAnsi="Arial" w:cs="Arial"/>
          <w:color w:val="808080"/>
          <w:sz w:val="20"/>
          <w:szCs w:val="20"/>
        </w:rPr>
        <w:t>En consecuencia, se recomienda formalizar la versión definitiva de todos los documentos de precios de transferencia con carácter previo al cierre fiscal, para garantizar el cumplimiento de los requisitos formales y evitar posibles contingencias o sanciones por defectos documentales.</w:t>
      </w:r>
    </w:p>
    <w:p w14:paraId="3C04B956" w14:textId="23FD63FE"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4</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1CDB85E8" w14:textId="77777777" w:rsidR="001D2B76" w:rsidRDefault="001D2B76"/>
    <w:p w14:paraId="17D3F192" w14:textId="77777777" w:rsidR="00FE7E67" w:rsidRDefault="00FE7E67"/>
    <w:p w14:paraId="17118A36" w14:textId="77777777" w:rsidR="00FE7E67" w:rsidRDefault="00FE7E67"/>
    <w:p w14:paraId="114A16A6" w14:textId="77777777" w:rsidR="00FE7E67" w:rsidRDefault="00FE7E67"/>
    <w:p w14:paraId="3A04033A" w14:textId="77777777" w:rsidR="00FE7E67" w:rsidRDefault="00FE7E67"/>
    <w:p w14:paraId="641E81DA" w14:textId="77777777" w:rsidR="00FE7E67" w:rsidRDefault="00FE7E67"/>
    <w:p w14:paraId="1CF8BFC5" w14:textId="77777777" w:rsidR="00FE7E67" w:rsidRDefault="00FE7E67"/>
    <w:p w14:paraId="2C254B1B" w14:textId="0AD37B26" w:rsidR="00FE7E67" w:rsidRPr="001C3809" w:rsidRDefault="001C3809" w:rsidP="001C3809">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lastRenderedPageBreak/>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5</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42953F38" w14:textId="77777777" w:rsidR="00BC04D8" w:rsidRPr="003841E3" w:rsidRDefault="00BC04D8" w:rsidP="00BC04D8">
      <w:pPr>
        <w:rPr>
          <w:rFonts w:ascii="Arial" w:hAnsi="Arial" w:cs="Arial"/>
          <w:b/>
          <w:bCs/>
          <w:color w:val="808080"/>
          <w:sz w:val="20"/>
          <w:szCs w:val="20"/>
        </w:rPr>
      </w:pPr>
      <w:r w:rsidRPr="003841E3">
        <w:rPr>
          <w:rFonts w:ascii="Arial" w:hAnsi="Arial" w:cs="Arial"/>
          <w:b/>
          <w:bCs/>
          <w:color w:val="808080"/>
          <w:sz w:val="20"/>
          <w:szCs w:val="20"/>
        </w:rPr>
        <w:t>Error en los filtros de independencia aplicados</w:t>
      </w:r>
    </w:p>
    <w:p w14:paraId="72A72ED1" w14:textId="77777777" w:rsidR="00BC04D8" w:rsidRPr="003841E3" w:rsidRDefault="00BC04D8" w:rsidP="00BC04D8">
      <w:pPr>
        <w:spacing w:before="120" w:after="120" w:line="240" w:lineRule="atLeast"/>
        <w:jc w:val="both"/>
        <w:rPr>
          <w:rFonts w:ascii="Arial" w:hAnsi="Arial" w:cs="Arial"/>
          <w:color w:val="808080"/>
          <w:sz w:val="20"/>
          <w:szCs w:val="20"/>
        </w:rPr>
      </w:pPr>
      <w:r w:rsidRPr="003841E3">
        <w:rPr>
          <w:rFonts w:ascii="Arial" w:hAnsi="Arial" w:cs="Arial"/>
          <w:color w:val="808080"/>
          <w:sz w:val="20"/>
          <w:szCs w:val="20"/>
        </w:rPr>
        <w:t>En relación con la selección de compañías comparables utilizada en el Estudio de Benchmarking, y específicamente con los filtros de independencia aplicados, se observa que el umbral considerado (participaciones inferiores al 50 %) no se alinea con el criterio previsto en la normativa española en materia de precios de transferencia, que establece un límite del 25 % conforme al artículo 18 de la Ley 27/2014, del Impuesto sobre Sociedades, y su normativa de desarrollo.</w:t>
      </w:r>
    </w:p>
    <w:p w14:paraId="12BC0236" w14:textId="77777777" w:rsidR="00BC04D8" w:rsidRPr="003841E3" w:rsidRDefault="00BC04D8" w:rsidP="00BC04D8">
      <w:pPr>
        <w:spacing w:before="120" w:after="120" w:line="240" w:lineRule="atLeast"/>
        <w:jc w:val="both"/>
        <w:rPr>
          <w:rFonts w:ascii="Arial" w:hAnsi="Arial" w:cs="Arial"/>
          <w:color w:val="808080"/>
          <w:sz w:val="20"/>
          <w:szCs w:val="20"/>
        </w:rPr>
      </w:pPr>
      <w:r w:rsidRPr="003841E3">
        <w:rPr>
          <w:rFonts w:ascii="Arial" w:hAnsi="Arial" w:cs="Arial"/>
          <w:color w:val="808080"/>
          <w:sz w:val="20"/>
          <w:szCs w:val="20"/>
        </w:rPr>
        <w:t>En consecuencia, la muestra de empresas seleccionadas podría incluir entidades cuya independencia económica o accionarial resulte cuestionable a efectos de la normativa española, lo que podría ser objeto de observación o ajuste por parte de la Administración Tributaria en un eventual procedimiento de comprobación.</w:t>
      </w:r>
    </w:p>
    <w:p w14:paraId="77D1B18C" w14:textId="6F896D53" w:rsidR="00BC04D8" w:rsidRPr="00385F44" w:rsidRDefault="00BC04D8" w:rsidP="00FE7E67">
      <w:pPr>
        <w:spacing w:before="120" w:after="120" w:line="240" w:lineRule="atLeast"/>
        <w:jc w:val="both"/>
        <w:rPr>
          <w:rFonts w:ascii="Arial" w:hAnsi="Arial" w:cs="Arial"/>
          <w:color w:val="808080"/>
          <w:sz w:val="20"/>
          <w:szCs w:val="20"/>
        </w:rPr>
      </w:pPr>
      <w:r w:rsidRPr="003841E3">
        <w:rPr>
          <w:rFonts w:ascii="Arial" w:hAnsi="Arial" w:cs="Arial"/>
          <w:color w:val="808080"/>
          <w:sz w:val="20"/>
          <w:szCs w:val="20"/>
        </w:rPr>
        <w:t>Se recomienda revisar y depurar la muestra de comparables aplicando el umbral de independencia del 25 %, verificando tanto la estructura accionarial como las participaciones mantenidas en otras sociedades, a fin de reforzar la fiabilidad del análisis de comparabilidad y asegurar la plena conformidad con la normativa fiscal española.</w:t>
      </w:r>
    </w:p>
    <w:p w14:paraId="1FC07BD5" w14:textId="144C512B"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5</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1DF15173" w14:textId="77777777" w:rsidR="00FE7E67" w:rsidRPr="00385F44" w:rsidRDefault="00FE7E67" w:rsidP="00FE7E67">
      <w:pPr>
        <w:spacing w:before="120" w:after="120" w:line="240" w:lineRule="atLeast"/>
        <w:rPr>
          <w:rFonts w:ascii="Arial" w:hAnsi="Arial" w:cs="Arial"/>
          <w:color w:val="808080"/>
          <w:sz w:val="20"/>
          <w:szCs w:val="20"/>
        </w:rPr>
      </w:pPr>
    </w:p>
    <w:p w14:paraId="7DB20EC1" w14:textId="77777777" w:rsidR="00FE7E67" w:rsidRDefault="00FE7E67"/>
    <w:p w14:paraId="524B0E4E" w14:textId="77777777" w:rsidR="003841E3" w:rsidRDefault="003841E3"/>
    <w:p w14:paraId="0FD4AEFD" w14:textId="77777777" w:rsidR="003841E3" w:rsidRDefault="003841E3"/>
    <w:p w14:paraId="63019F84" w14:textId="77777777" w:rsidR="0037013C" w:rsidRDefault="0037013C" w:rsidP="001C3809">
      <w:pPr>
        <w:spacing w:before="120" w:after="120" w:line="240" w:lineRule="atLeast"/>
      </w:pPr>
    </w:p>
    <w:p w14:paraId="6082CFAA" w14:textId="77777777" w:rsidR="0037013C" w:rsidRDefault="0037013C" w:rsidP="001C3809">
      <w:pPr>
        <w:spacing w:before="120" w:after="120" w:line="240" w:lineRule="atLeast"/>
      </w:pPr>
    </w:p>
    <w:p w14:paraId="2F2F04DB" w14:textId="50517859" w:rsidR="003841E3" w:rsidRDefault="001C3809" w:rsidP="001C3809">
      <w:pPr>
        <w:spacing w:before="120" w:after="120" w:line="240" w:lineRule="atLeast"/>
        <w:rPr>
          <w:rFonts w:ascii="Microsoft YaHei" w:eastAsia="Microsoft YaHei" w:hAnsi="Microsoft YaHei" w:cs="Microsoft YaHei"/>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6</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4C2FAB81" w14:textId="77777777" w:rsidR="00BC04D8" w:rsidRPr="00E3305A" w:rsidRDefault="00BC04D8" w:rsidP="00BC04D8">
      <w:pPr>
        <w:rPr>
          <w:rFonts w:ascii="Arial" w:hAnsi="Arial" w:cs="Arial"/>
          <w:b/>
          <w:bCs/>
          <w:color w:val="808080"/>
          <w:sz w:val="20"/>
          <w:szCs w:val="20"/>
        </w:rPr>
      </w:pPr>
      <w:r w:rsidRPr="00E3305A">
        <w:rPr>
          <w:rFonts w:ascii="Arial" w:hAnsi="Arial" w:cs="Arial"/>
          <w:b/>
          <w:bCs/>
          <w:color w:val="808080"/>
          <w:sz w:val="20"/>
          <w:szCs w:val="20"/>
        </w:rPr>
        <w:t>Error en los filtros de Independencia aplicados accionistas</w:t>
      </w:r>
    </w:p>
    <w:p w14:paraId="5BD35006" w14:textId="77777777" w:rsidR="00BC04D8" w:rsidRPr="00385F44" w:rsidRDefault="00BC04D8" w:rsidP="00BC04D8">
      <w:pPr>
        <w:spacing w:before="120" w:after="120" w:line="240" w:lineRule="atLeast"/>
        <w:jc w:val="both"/>
        <w:rPr>
          <w:rFonts w:ascii="Arial" w:hAnsi="Arial" w:cs="Arial"/>
          <w:color w:val="808080"/>
          <w:sz w:val="20"/>
          <w:szCs w:val="20"/>
        </w:rPr>
      </w:pPr>
      <w:r w:rsidRPr="00385F44">
        <w:rPr>
          <w:rFonts w:ascii="Arial" w:hAnsi="Arial" w:cs="Arial"/>
          <w:color w:val="808080"/>
          <w:sz w:val="20"/>
          <w:szCs w:val="20"/>
        </w:rPr>
        <w:t>En relación con la selección de compañías comparables, se ha observado que el filtro de independencia accionarial aplicado en la búsqueda se limita a excluir aquellas entidades con accionistas que posean participaciones directas o indirectas iguales o superiores al 25 % (</w:t>
      </w:r>
      <w:r w:rsidRPr="00385F44">
        <w:rPr>
          <w:rFonts w:ascii="Arial" w:hAnsi="Arial" w:cs="Arial"/>
          <w:i/>
          <w:iCs/>
          <w:color w:val="808080"/>
          <w:sz w:val="20"/>
          <w:szCs w:val="20"/>
        </w:rPr>
        <w:t>criterio de accionistas</w:t>
      </w:r>
      <w:r w:rsidRPr="00385F44">
        <w:rPr>
          <w:rFonts w:ascii="Arial" w:hAnsi="Arial" w:cs="Arial"/>
          <w:color w:val="808080"/>
          <w:sz w:val="20"/>
          <w:szCs w:val="20"/>
        </w:rPr>
        <w:t>).</w:t>
      </w:r>
    </w:p>
    <w:p w14:paraId="54B1E00D" w14:textId="77777777" w:rsidR="00BC04D8" w:rsidRPr="00385F44" w:rsidRDefault="00BC04D8" w:rsidP="00BC04D8">
      <w:pPr>
        <w:spacing w:before="120" w:after="120" w:line="240" w:lineRule="atLeast"/>
        <w:jc w:val="both"/>
        <w:rPr>
          <w:rFonts w:ascii="Arial" w:hAnsi="Arial" w:cs="Arial"/>
          <w:color w:val="808080"/>
          <w:sz w:val="20"/>
          <w:szCs w:val="20"/>
        </w:rPr>
      </w:pPr>
      <w:r w:rsidRPr="00385F44">
        <w:rPr>
          <w:rFonts w:ascii="Arial" w:hAnsi="Arial" w:cs="Arial"/>
          <w:color w:val="808080"/>
          <w:sz w:val="20"/>
          <w:szCs w:val="20"/>
        </w:rPr>
        <w:t>No obstante, conforme a lo dispuesto en el artículo 18 de la Ley 27/2014, del Impuesto sobre Sociedades (LIS), y en su normativa de desarrollo, resulta igualmente necesario verificar la existencia de participaciones significativas mantenidas por las propias compañías comparables en otras entidades (</w:t>
      </w:r>
      <w:r w:rsidRPr="00385F44">
        <w:rPr>
          <w:rFonts w:ascii="Arial" w:hAnsi="Arial" w:cs="Arial"/>
          <w:i/>
          <w:iCs/>
          <w:color w:val="808080"/>
          <w:sz w:val="20"/>
          <w:szCs w:val="20"/>
        </w:rPr>
        <w:t>criterio de filiales</w:t>
      </w:r>
      <w:r w:rsidRPr="00385F44">
        <w:rPr>
          <w:rFonts w:ascii="Arial" w:hAnsi="Arial" w:cs="Arial"/>
          <w:color w:val="808080"/>
          <w:sz w:val="20"/>
          <w:szCs w:val="20"/>
        </w:rPr>
        <w:t>), a fin de garantizar que las empresas seleccionadas sean plenamente independientes tanto en su estructura de propiedad como en su control efectivo.</w:t>
      </w:r>
    </w:p>
    <w:p w14:paraId="46ED45D0" w14:textId="77777777" w:rsidR="00BC04D8" w:rsidRPr="00385F44" w:rsidRDefault="00BC04D8" w:rsidP="00BC04D8">
      <w:pPr>
        <w:spacing w:before="120" w:after="120" w:line="240" w:lineRule="atLeast"/>
        <w:jc w:val="both"/>
        <w:rPr>
          <w:rFonts w:ascii="Arial" w:hAnsi="Arial" w:cs="Arial"/>
          <w:color w:val="808080"/>
          <w:sz w:val="20"/>
          <w:szCs w:val="20"/>
        </w:rPr>
      </w:pPr>
      <w:r w:rsidRPr="00385F44">
        <w:rPr>
          <w:rFonts w:ascii="Arial" w:hAnsi="Arial" w:cs="Arial"/>
          <w:color w:val="808080"/>
          <w:sz w:val="20"/>
          <w:szCs w:val="20"/>
        </w:rPr>
        <w:t xml:space="preserve">En este sentido, la Administración Tributaria española podría cuestionar la idoneidad de las comparables incluidas en el </w:t>
      </w:r>
      <w:r w:rsidRPr="00385F44">
        <w:rPr>
          <w:rFonts w:ascii="Arial" w:hAnsi="Arial" w:cs="Arial"/>
          <w:i/>
          <w:iCs/>
          <w:color w:val="808080"/>
          <w:sz w:val="20"/>
          <w:szCs w:val="20"/>
        </w:rPr>
        <w:t>benchmarking</w:t>
      </w:r>
      <w:r w:rsidRPr="00385F44">
        <w:rPr>
          <w:rFonts w:ascii="Arial" w:hAnsi="Arial" w:cs="Arial"/>
          <w:color w:val="808080"/>
          <w:sz w:val="20"/>
          <w:szCs w:val="20"/>
        </w:rPr>
        <w:t xml:space="preserve"> si no se acredita el cumplimiento de los requisitos de independencia establecidos en la normativa vigente.</w:t>
      </w:r>
    </w:p>
    <w:p w14:paraId="34AC2C63" w14:textId="6A4D2F14" w:rsidR="00BC04D8" w:rsidRPr="00BC04D8" w:rsidRDefault="00BC04D8" w:rsidP="00BC04D8">
      <w:pPr>
        <w:spacing w:before="120" w:after="120" w:line="240" w:lineRule="atLeast"/>
        <w:jc w:val="both"/>
        <w:rPr>
          <w:rFonts w:ascii="Arial" w:hAnsi="Arial" w:cs="Arial"/>
          <w:color w:val="808080"/>
          <w:sz w:val="20"/>
          <w:szCs w:val="20"/>
        </w:rPr>
      </w:pPr>
      <w:r w:rsidRPr="00385F44">
        <w:rPr>
          <w:rFonts w:ascii="Arial" w:hAnsi="Arial" w:cs="Arial"/>
          <w:color w:val="808080"/>
          <w:sz w:val="20"/>
          <w:szCs w:val="20"/>
        </w:rPr>
        <w:t>Por tanto, se recomienda realizar un análisis adicional de los vínculos accionariales y de control de las empresas seleccionadas, identificando y, en su caso, descartando aquellas que mantengan participaciones relevantes (≥ 25 %) en otras sociedades, a fin de reforzar la fiabilidad del análisis de comparabilidad y asegurar la consistencia con el principio de plena competencia.</w:t>
      </w:r>
    </w:p>
    <w:p w14:paraId="571A0D2B" w14:textId="172C6F2A"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6</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065D704E" w14:textId="77777777" w:rsidR="003841E3" w:rsidRDefault="003841E3"/>
    <w:p w14:paraId="4A09F56D" w14:textId="77777777" w:rsidR="003841E3" w:rsidRDefault="003841E3"/>
    <w:p w14:paraId="12AE6FFB" w14:textId="77777777" w:rsidR="003841E3" w:rsidRDefault="003841E3"/>
    <w:p w14:paraId="4F15D057" w14:textId="13B629AE" w:rsidR="003841E3" w:rsidRPr="001C3809" w:rsidRDefault="001C3809" w:rsidP="001C3809">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lastRenderedPageBreak/>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7</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3C247005" w14:textId="77777777" w:rsidR="00F721BB" w:rsidRPr="00E72947" w:rsidRDefault="00F721BB" w:rsidP="00F721BB">
      <w:pPr>
        <w:spacing w:before="120" w:after="120" w:line="240" w:lineRule="atLeast"/>
        <w:rPr>
          <w:rFonts w:ascii="Arial" w:hAnsi="Arial" w:cs="Arial"/>
          <w:b/>
          <w:bCs/>
          <w:color w:val="808080"/>
          <w:sz w:val="20"/>
          <w:szCs w:val="20"/>
        </w:rPr>
      </w:pPr>
      <w:r w:rsidRPr="00E72947">
        <w:rPr>
          <w:rFonts w:ascii="Arial" w:hAnsi="Arial" w:cs="Arial"/>
          <w:b/>
          <w:bCs/>
          <w:color w:val="808080"/>
          <w:sz w:val="20"/>
          <w:szCs w:val="20"/>
        </w:rPr>
        <w:t>Información financiera de comparables no actualizada</w:t>
      </w:r>
    </w:p>
    <w:p w14:paraId="5CEA4C80" w14:textId="77777777" w:rsidR="00F721BB" w:rsidRPr="00E72947" w:rsidRDefault="00F721BB" w:rsidP="00F721BB">
      <w:pPr>
        <w:spacing w:before="120" w:after="120" w:line="240" w:lineRule="atLeast"/>
        <w:jc w:val="both"/>
        <w:rPr>
          <w:rFonts w:ascii="Arial" w:hAnsi="Arial" w:cs="Arial"/>
          <w:color w:val="808080"/>
          <w:sz w:val="20"/>
          <w:szCs w:val="20"/>
        </w:rPr>
      </w:pPr>
      <w:r w:rsidRPr="00E72947">
        <w:rPr>
          <w:rFonts w:ascii="Arial" w:hAnsi="Arial" w:cs="Arial"/>
          <w:color w:val="808080"/>
          <w:sz w:val="20"/>
          <w:szCs w:val="20"/>
        </w:rPr>
        <w:t>Se ha identificado que la información financiera de las compañías independientes seleccionadas como comparables en los análisis económicos incluidos en la Documentación no se encuentra actualizada para el ejercicio 20XX (período 20XX-20XX). En consecuencia, el rango de mercado actualmente reflejado corresponde al ejercicio anterior, y no al ejercicio objeto de análisis.</w:t>
      </w:r>
    </w:p>
    <w:p w14:paraId="2385BECA" w14:textId="77777777" w:rsidR="00F721BB" w:rsidRPr="00E72947" w:rsidRDefault="00F721BB" w:rsidP="00F721BB">
      <w:pPr>
        <w:spacing w:before="120" w:after="120" w:line="240" w:lineRule="atLeast"/>
        <w:jc w:val="both"/>
        <w:rPr>
          <w:rFonts w:ascii="Arial" w:hAnsi="Arial" w:cs="Arial"/>
          <w:color w:val="808080"/>
          <w:sz w:val="20"/>
          <w:szCs w:val="20"/>
        </w:rPr>
      </w:pPr>
      <w:r w:rsidRPr="00E72947">
        <w:rPr>
          <w:rFonts w:ascii="Arial" w:hAnsi="Arial" w:cs="Arial"/>
          <w:color w:val="808080"/>
          <w:sz w:val="20"/>
          <w:szCs w:val="20"/>
        </w:rPr>
        <w:t>De conformidad con las Directrices OCDE 2022 en materia de precios de transferencia (Capítulo V, párr. 5.38), la búsqueda de comparables en bases de datos puede revisarse cada tres años siempre que las condiciones operativas no varíen; no obstante, la información financiera de los comparables debe actualizarse anualmente, a fin de garantizar la aplicación fiable del principio de plena competencia.</w:t>
      </w:r>
    </w:p>
    <w:p w14:paraId="5CF521A0" w14:textId="77777777" w:rsidR="00F721BB" w:rsidRPr="00E72947" w:rsidRDefault="00F721BB" w:rsidP="00F721BB">
      <w:pPr>
        <w:spacing w:before="120" w:after="120" w:line="240" w:lineRule="atLeast"/>
        <w:jc w:val="both"/>
        <w:rPr>
          <w:rFonts w:ascii="Arial" w:hAnsi="Arial" w:cs="Arial"/>
          <w:color w:val="808080"/>
          <w:sz w:val="20"/>
          <w:szCs w:val="20"/>
        </w:rPr>
      </w:pPr>
      <w:r w:rsidRPr="00E72947">
        <w:rPr>
          <w:rFonts w:ascii="Arial" w:hAnsi="Arial" w:cs="Arial"/>
          <w:color w:val="808080"/>
          <w:sz w:val="20"/>
          <w:szCs w:val="20"/>
        </w:rPr>
        <w:t>En atención a lo anterior, se recomienda actualizar la información financiera de las entidades comparables al ejercicio 20XX y recalcular el rango intercuartílico de mercado correspondiente. Esta actualización permitirá asegurar la validez y consistencia del análisis económico frente a los requisitos del principio de plena competencia y las exigencias formales del artículo 16 del Reglamento del Impuesto sobre Sociedades.</w:t>
      </w:r>
    </w:p>
    <w:p w14:paraId="274877ED" w14:textId="466DD64D"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7</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2E8E6696" w14:textId="77777777" w:rsidR="003841E3" w:rsidRDefault="003841E3"/>
    <w:p w14:paraId="67DF5648" w14:textId="77777777" w:rsidR="00F721BB" w:rsidRDefault="00F721BB"/>
    <w:p w14:paraId="1182F1EA" w14:textId="77777777" w:rsidR="00F721BB" w:rsidRDefault="00F721BB"/>
    <w:p w14:paraId="4C95DBFF" w14:textId="77777777" w:rsidR="00F721BB" w:rsidRDefault="00F721BB"/>
    <w:p w14:paraId="65020D8D" w14:textId="77777777" w:rsidR="0037013C" w:rsidRDefault="0037013C" w:rsidP="009B44E7">
      <w:pPr>
        <w:spacing w:before="120" w:after="120" w:line="240" w:lineRule="atLeast"/>
      </w:pPr>
    </w:p>
    <w:p w14:paraId="7DE21958" w14:textId="23C20337" w:rsidR="00F721BB" w:rsidRPr="009B44E7" w:rsidRDefault="009B44E7" w:rsidP="009B44E7">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8</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2302E36F" w14:textId="77777777" w:rsidR="00B973D6" w:rsidRPr="002D6779" w:rsidRDefault="00B973D6" w:rsidP="00B973D6">
      <w:pPr>
        <w:spacing w:before="120" w:after="120" w:line="240" w:lineRule="atLeast"/>
        <w:jc w:val="both"/>
        <w:rPr>
          <w:rFonts w:ascii="Arial" w:hAnsi="Arial" w:cs="Arial"/>
          <w:b/>
          <w:bCs/>
          <w:color w:val="808080"/>
          <w:sz w:val="20"/>
          <w:szCs w:val="20"/>
        </w:rPr>
      </w:pPr>
      <w:r w:rsidRPr="002D6779">
        <w:rPr>
          <w:rFonts w:ascii="Arial" w:hAnsi="Arial" w:cs="Arial"/>
          <w:b/>
          <w:bCs/>
          <w:color w:val="808080"/>
          <w:sz w:val="20"/>
          <w:szCs w:val="20"/>
        </w:rPr>
        <w:t>No acceso a la estrategia de búsqueda utilizada</w:t>
      </w:r>
    </w:p>
    <w:p w14:paraId="40DBD963" w14:textId="77777777" w:rsidR="00B973D6" w:rsidRDefault="00B973D6" w:rsidP="00B973D6">
      <w:pPr>
        <w:spacing w:before="120" w:after="120" w:line="240" w:lineRule="atLeast"/>
        <w:jc w:val="both"/>
        <w:rPr>
          <w:rFonts w:ascii="Arial" w:hAnsi="Arial" w:cs="Arial"/>
          <w:color w:val="808080"/>
          <w:sz w:val="20"/>
          <w:szCs w:val="20"/>
        </w:rPr>
      </w:pPr>
      <w:r w:rsidRPr="002D6779">
        <w:rPr>
          <w:rFonts w:ascii="Arial" w:hAnsi="Arial" w:cs="Arial"/>
          <w:color w:val="808080"/>
          <w:sz w:val="20"/>
          <w:szCs w:val="20"/>
        </w:rPr>
        <w:t xml:space="preserve">No se ha tenido acceso a los apartados o anexos del </w:t>
      </w:r>
      <w:r w:rsidRPr="002D6779">
        <w:rPr>
          <w:rFonts w:ascii="Arial" w:hAnsi="Arial" w:cs="Arial"/>
          <w:i/>
          <w:iCs/>
          <w:color w:val="808080"/>
          <w:sz w:val="20"/>
          <w:szCs w:val="20"/>
        </w:rPr>
        <w:t>Local File</w:t>
      </w:r>
      <w:r w:rsidRPr="002D6779">
        <w:rPr>
          <w:rFonts w:ascii="Arial" w:hAnsi="Arial" w:cs="Arial"/>
          <w:color w:val="808080"/>
          <w:sz w:val="20"/>
          <w:szCs w:val="20"/>
        </w:rPr>
        <w:t xml:space="preserve"> en los que se documenta el proceso de búsqueda y selección de comparables empleados en los análisis económicos relativos a las operativas analizadas.</w:t>
      </w:r>
    </w:p>
    <w:p w14:paraId="4D2F906B" w14:textId="77777777" w:rsidR="00B973D6" w:rsidRPr="002D6779" w:rsidRDefault="00B973D6" w:rsidP="00B973D6">
      <w:pPr>
        <w:spacing w:before="120" w:after="120" w:line="240" w:lineRule="atLeast"/>
        <w:jc w:val="both"/>
        <w:rPr>
          <w:rFonts w:ascii="Arial" w:hAnsi="Arial" w:cs="Arial"/>
          <w:color w:val="808080"/>
          <w:sz w:val="20"/>
          <w:szCs w:val="20"/>
        </w:rPr>
      </w:pPr>
      <w:r w:rsidRPr="002D6779">
        <w:rPr>
          <w:rFonts w:ascii="Arial" w:hAnsi="Arial" w:cs="Arial"/>
          <w:color w:val="808080"/>
          <w:sz w:val="20"/>
          <w:szCs w:val="20"/>
        </w:rPr>
        <w:t>En particular, no se dispone de información sobre la estrategia de búsqueda en la base de datos [indicar, si se conoce], ni sobre los criterios de inclusión y exclusión aplicados, ni de la información financiera detallada de las entidades finalmente seleccionadas.</w:t>
      </w:r>
    </w:p>
    <w:p w14:paraId="34C43077" w14:textId="77777777" w:rsidR="00B973D6" w:rsidRPr="002D6779" w:rsidRDefault="00B973D6" w:rsidP="00B973D6">
      <w:pPr>
        <w:spacing w:before="120" w:after="120" w:line="240" w:lineRule="atLeast"/>
        <w:jc w:val="both"/>
        <w:rPr>
          <w:rFonts w:ascii="Arial" w:hAnsi="Arial" w:cs="Arial"/>
          <w:color w:val="808080"/>
          <w:sz w:val="20"/>
          <w:szCs w:val="20"/>
        </w:rPr>
      </w:pPr>
      <w:r w:rsidRPr="002D6779">
        <w:rPr>
          <w:rFonts w:ascii="Arial" w:hAnsi="Arial" w:cs="Arial"/>
          <w:color w:val="808080"/>
          <w:sz w:val="20"/>
          <w:szCs w:val="20"/>
        </w:rPr>
        <w:t>En consecuencia, no resulta posible verificar si el procedimiento de búsqueda y selección de comparables se ha llevado a cabo conforme a los requisitos previstos en el artículo 18 de la Ley del Impuesto sobre Sociedades, su normativa de desarrollo (art. 16 RIS), y las Directrices de la OCDE 2022 (Cap. III).</w:t>
      </w:r>
    </w:p>
    <w:p w14:paraId="658405AB" w14:textId="77777777" w:rsidR="00B973D6" w:rsidRPr="002D6779" w:rsidRDefault="00B973D6" w:rsidP="00B973D6">
      <w:pPr>
        <w:spacing w:before="120" w:after="120" w:line="240" w:lineRule="atLeast"/>
        <w:jc w:val="both"/>
        <w:rPr>
          <w:rFonts w:ascii="Arial" w:hAnsi="Arial" w:cs="Arial"/>
          <w:color w:val="808080"/>
          <w:sz w:val="20"/>
          <w:szCs w:val="20"/>
        </w:rPr>
      </w:pPr>
      <w:r w:rsidRPr="002D6779">
        <w:rPr>
          <w:rFonts w:ascii="Arial" w:hAnsi="Arial" w:cs="Arial"/>
          <w:color w:val="808080"/>
          <w:sz w:val="20"/>
          <w:szCs w:val="20"/>
        </w:rPr>
        <w:t>Dada la importancia de este elemento en la validación del análisis económico, se recomienda complementar la documentación con una descripción exhaustiva del proceso de búsqueda y los criterios aplicados, así como con la información financiera de las empresas comparables seleccionadas, a fin de garantizar la trazabilidad y reproducibilidad del análisis y reforzar la defensa del principio de plena competencia ante una eventual comprobación tributaria.</w:t>
      </w:r>
    </w:p>
    <w:p w14:paraId="3905A811" w14:textId="7F51A70E"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8</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3DD75B95" w14:textId="77777777" w:rsidR="00F721BB" w:rsidRDefault="00F721BB"/>
    <w:p w14:paraId="5215F0A3" w14:textId="77777777" w:rsidR="0062668F" w:rsidRDefault="0062668F"/>
    <w:p w14:paraId="36F47598" w14:textId="77777777" w:rsidR="0062668F" w:rsidRDefault="0062668F"/>
    <w:p w14:paraId="08BDD50C" w14:textId="77777777" w:rsidR="0037013C" w:rsidRDefault="0037013C" w:rsidP="009B44E7">
      <w:pPr>
        <w:spacing w:before="120" w:after="120" w:line="240" w:lineRule="atLeast"/>
      </w:pPr>
    </w:p>
    <w:p w14:paraId="7CEFF30C" w14:textId="30FA2DDA" w:rsidR="0062668F" w:rsidRPr="009B44E7" w:rsidRDefault="009B44E7" w:rsidP="009B44E7">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lastRenderedPageBreak/>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9</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22B57453" w14:textId="77777777" w:rsidR="0062668F" w:rsidRPr="002666DE" w:rsidRDefault="0062668F" w:rsidP="0062668F">
      <w:pPr>
        <w:spacing w:before="120" w:after="120" w:line="240" w:lineRule="atLeast"/>
        <w:jc w:val="both"/>
        <w:rPr>
          <w:rFonts w:ascii="Arial" w:hAnsi="Arial" w:cs="Arial"/>
          <w:b/>
          <w:bCs/>
          <w:color w:val="808080"/>
          <w:sz w:val="20"/>
          <w:szCs w:val="20"/>
        </w:rPr>
      </w:pPr>
      <w:r w:rsidRPr="002666DE">
        <w:rPr>
          <w:rFonts w:ascii="Arial" w:hAnsi="Arial" w:cs="Arial"/>
          <w:b/>
          <w:bCs/>
          <w:color w:val="808080"/>
          <w:sz w:val="20"/>
          <w:szCs w:val="20"/>
        </w:rPr>
        <w:t>No justificación del método seleccionado en la documentación</w:t>
      </w:r>
    </w:p>
    <w:p w14:paraId="263C4D2D" w14:textId="77777777" w:rsidR="0062668F" w:rsidRPr="002666DE" w:rsidRDefault="0062668F" w:rsidP="0062668F">
      <w:pPr>
        <w:spacing w:before="120" w:after="120" w:line="240" w:lineRule="atLeast"/>
        <w:jc w:val="both"/>
        <w:rPr>
          <w:rFonts w:ascii="Arial" w:hAnsi="Arial" w:cs="Arial"/>
          <w:color w:val="808080"/>
          <w:sz w:val="20"/>
          <w:szCs w:val="20"/>
        </w:rPr>
      </w:pPr>
      <w:r w:rsidRPr="002666DE">
        <w:rPr>
          <w:rFonts w:ascii="Arial" w:hAnsi="Arial" w:cs="Arial"/>
          <w:color w:val="808080"/>
          <w:sz w:val="20"/>
          <w:szCs w:val="20"/>
        </w:rPr>
        <w:t>La documentación de precios de transferencia revisada no incluye una justificación suficiente del método de valoración seleccionado, lo que contraviene lo dispuesto en el artículo 16.1.A.4º del Reglamento del Impuesto sobre Sociedades (Real Decreto 634/2015, de 10 de julio).</w:t>
      </w:r>
    </w:p>
    <w:p w14:paraId="72697396" w14:textId="77777777" w:rsidR="0062668F" w:rsidRPr="002666DE" w:rsidRDefault="0062668F" w:rsidP="0062668F">
      <w:pPr>
        <w:spacing w:before="120" w:after="120" w:line="240" w:lineRule="atLeast"/>
        <w:jc w:val="both"/>
        <w:rPr>
          <w:rFonts w:ascii="Arial" w:hAnsi="Arial" w:cs="Arial"/>
          <w:color w:val="808080"/>
          <w:sz w:val="20"/>
          <w:szCs w:val="20"/>
        </w:rPr>
      </w:pPr>
      <w:r w:rsidRPr="002666DE">
        <w:rPr>
          <w:rFonts w:ascii="Arial" w:hAnsi="Arial" w:cs="Arial"/>
          <w:color w:val="808080"/>
          <w:sz w:val="20"/>
          <w:szCs w:val="20"/>
        </w:rPr>
        <w:t>Dicho precepto exige que la documentación contenga una explicación relativa a la selección del método de valoración elegido, incluyendo las razones que motivan su elección, su forma de aplicación, los comparables empleados y el valor o rango de valores resultante.</w:t>
      </w:r>
    </w:p>
    <w:p w14:paraId="52844331" w14:textId="77777777" w:rsidR="0062668F" w:rsidRPr="002666DE" w:rsidRDefault="0062668F" w:rsidP="0062668F">
      <w:pPr>
        <w:spacing w:before="120" w:after="120" w:line="240" w:lineRule="atLeast"/>
        <w:jc w:val="both"/>
        <w:rPr>
          <w:rFonts w:ascii="Arial" w:hAnsi="Arial" w:cs="Arial"/>
          <w:color w:val="808080"/>
          <w:sz w:val="20"/>
          <w:szCs w:val="20"/>
        </w:rPr>
      </w:pPr>
      <w:r w:rsidRPr="002666DE">
        <w:rPr>
          <w:rFonts w:ascii="Arial" w:hAnsi="Arial" w:cs="Arial"/>
          <w:color w:val="808080"/>
          <w:sz w:val="20"/>
          <w:szCs w:val="20"/>
        </w:rPr>
        <w:t>De igual modo, las Directrices de la OCDE 2022 (Capítulo II, párrafos 2.2 a 2.11) establecen que debe aplicarse el método más apropiado en función de las circunstancias, previa comparación razonada de las alternativas disponibles.</w:t>
      </w:r>
    </w:p>
    <w:p w14:paraId="371298D3" w14:textId="77777777" w:rsidR="0062668F" w:rsidRPr="002666DE" w:rsidRDefault="0062668F" w:rsidP="0062668F">
      <w:pPr>
        <w:spacing w:before="120" w:after="120" w:line="240" w:lineRule="atLeast"/>
        <w:jc w:val="both"/>
        <w:rPr>
          <w:rFonts w:ascii="Arial" w:hAnsi="Arial" w:cs="Arial"/>
          <w:color w:val="808080"/>
          <w:sz w:val="20"/>
          <w:szCs w:val="20"/>
        </w:rPr>
      </w:pPr>
      <w:r w:rsidRPr="002666DE">
        <w:rPr>
          <w:rFonts w:ascii="Arial" w:hAnsi="Arial" w:cs="Arial"/>
          <w:color w:val="808080"/>
          <w:sz w:val="20"/>
          <w:szCs w:val="20"/>
        </w:rPr>
        <w:t>En este contexto, se recomienda complementar la documentación con una descripción clara y estructurada de:</w:t>
      </w:r>
    </w:p>
    <w:p w14:paraId="5F7DB150" w14:textId="77777777" w:rsidR="0062668F" w:rsidRPr="002666DE" w:rsidRDefault="0062668F" w:rsidP="0062668F">
      <w:pPr>
        <w:numPr>
          <w:ilvl w:val="0"/>
          <w:numId w:val="4"/>
        </w:numPr>
        <w:spacing w:before="120" w:after="120" w:line="240" w:lineRule="atLeast"/>
        <w:jc w:val="both"/>
        <w:rPr>
          <w:rFonts w:ascii="Arial" w:hAnsi="Arial" w:cs="Arial"/>
          <w:color w:val="808080"/>
          <w:sz w:val="20"/>
          <w:szCs w:val="20"/>
        </w:rPr>
      </w:pPr>
      <w:r w:rsidRPr="002666DE">
        <w:rPr>
          <w:rFonts w:ascii="Arial" w:hAnsi="Arial" w:cs="Arial"/>
          <w:color w:val="808080"/>
          <w:sz w:val="20"/>
          <w:szCs w:val="20"/>
        </w:rPr>
        <w:t>Los métodos de valoración considerados y los motivos de aceptación o rechazo de cada uno.</w:t>
      </w:r>
    </w:p>
    <w:p w14:paraId="74084205" w14:textId="77777777" w:rsidR="0062668F" w:rsidRPr="002666DE" w:rsidRDefault="0062668F" w:rsidP="0062668F">
      <w:pPr>
        <w:numPr>
          <w:ilvl w:val="0"/>
          <w:numId w:val="4"/>
        </w:numPr>
        <w:spacing w:before="120" w:after="120" w:line="240" w:lineRule="atLeast"/>
        <w:jc w:val="both"/>
        <w:rPr>
          <w:rFonts w:ascii="Arial" w:hAnsi="Arial" w:cs="Arial"/>
          <w:color w:val="808080"/>
          <w:sz w:val="20"/>
          <w:szCs w:val="20"/>
        </w:rPr>
      </w:pPr>
      <w:r w:rsidRPr="002666DE">
        <w:rPr>
          <w:rFonts w:ascii="Arial" w:hAnsi="Arial" w:cs="Arial"/>
          <w:color w:val="808080"/>
          <w:sz w:val="20"/>
          <w:szCs w:val="20"/>
        </w:rPr>
        <w:t>Los criterios que justifican la selección final del método adoptado.</w:t>
      </w:r>
    </w:p>
    <w:p w14:paraId="7BD9B299" w14:textId="77777777" w:rsidR="0062668F" w:rsidRPr="002666DE" w:rsidRDefault="0062668F" w:rsidP="0062668F">
      <w:pPr>
        <w:numPr>
          <w:ilvl w:val="0"/>
          <w:numId w:val="4"/>
        </w:numPr>
        <w:spacing w:before="120" w:after="120" w:line="240" w:lineRule="atLeast"/>
        <w:jc w:val="both"/>
        <w:rPr>
          <w:rFonts w:ascii="Arial" w:hAnsi="Arial" w:cs="Arial"/>
          <w:color w:val="808080"/>
          <w:sz w:val="20"/>
          <w:szCs w:val="20"/>
        </w:rPr>
      </w:pPr>
      <w:r w:rsidRPr="002666DE">
        <w:rPr>
          <w:rFonts w:ascii="Arial" w:hAnsi="Arial" w:cs="Arial"/>
          <w:color w:val="808080"/>
          <w:sz w:val="20"/>
          <w:szCs w:val="20"/>
        </w:rPr>
        <w:t>La forma concreta de aplicación, fuentes de información, comparables y resultados obtenidos.</w:t>
      </w:r>
    </w:p>
    <w:p w14:paraId="69A5904A" w14:textId="77777777" w:rsidR="0062668F" w:rsidRPr="002666DE" w:rsidRDefault="0062668F" w:rsidP="0062668F">
      <w:pPr>
        <w:spacing w:before="120" w:after="120" w:line="240" w:lineRule="atLeast"/>
        <w:jc w:val="both"/>
        <w:rPr>
          <w:rFonts w:ascii="Arial" w:hAnsi="Arial" w:cs="Arial"/>
          <w:color w:val="808080"/>
          <w:sz w:val="20"/>
          <w:szCs w:val="20"/>
        </w:rPr>
      </w:pPr>
      <w:r w:rsidRPr="002666DE">
        <w:rPr>
          <w:rFonts w:ascii="Arial" w:hAnsi="Arial" w:cs="Arial"/>
          <w:color w:val="808080"/>
          <w:sz w:val="20"/>
          <w:szCs w:val="20"/>
        </w:rPr>
        <w:t>Esta ampliación permitirá reforzar la solidez técnica y la trazabilidad de la política de precios de transferencia, reduciendo el riesgo de cuestionamiento por parte de la Administración Tributaria en una eventual comprobación.</w:t>
      </w:r>
    </w:p>
    <w:p w14:paraId="14288E51" w14:textId="4EB9CE75"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9</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1389E425" w14:textId="77777777" w:rsidR="0037013C" w:rsidRDefault="0037013C" w:rsidP="009B44E7">
      <w:pPr>
        <w:spacing w:before="120" w:after="120" w:line="240" w:lineRule="atLeast"/>
      </w:pPr>
    </w:p>
    <w:p w14:paraId="2EDC0E91" w14:textId="5F74811B" w:rsidR="005B0842" w:rsidRPr="009B44E7" w:rsidRDefault="009B44E7" w:rsidP="009B44E7">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10</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4DB37E6C" w14:textId="77777777" w:rsidR="005B0842" w:rsidRPr="00374944" w:rsidRDefault="005B0842" w:rsidP="005B0842">
      <w:pPr>
        <w:spacing w:before="120" w:after="120" w:line="240" w:lineRule="atLeast"/>
        <w:rPr>
          <w:rFonts w:ascii="Arial" w:hAnsi="Arial" w:cs="Arial"/>
          <w:b/>
          <w:bCs/>
          <w:color w:val="808080"/>
          <w:sz w:val="20"/>
          <w:szCs w:val="20"/>
        </w:rPr>
      </w:pPr>
      <w:r w:rsidRPr="00374944">
        <w:rPr>
          <w:rFonts w:ascii="Arial" w:hAnsi="Arial" w:cs="Arial"/>
          <w:b/>
          <w:bCs/>
          <w:color w:val="808080"/>
          <w:sz w:val="20"/>
          <w:szCs w:val="20"/>
        </w:rPr>
        <w:t>Pago de royalty en situación de perdidas</w:t>
      </w:r>
    </w:p>
    <w:p w14:paraId="7A05DF2E" w14:textId="77777777" w:rsidR="005B0842" w:rsidRPr="00374944" w:rsidRDefault="005B0842" w:rsidP="005B0842">
      <w:pPr>
        <w:spacing w:before="120" w:after="120" w:line="240" w:lineRule="atLeast"/>
        <w:jc w:val="both"/>
        <w:rPr>
          <w:rFonts w:ascii="Arial" w:hAnsi="Arial" w:cs="Arial"/>
          <w:color w:val="808080"/>
          <w:sz w:val="20"/>
          <w:szCs w:val="20"/>
        </w:rPr>
      </w:pPr>
      <w:r w:rsidRPr="00374944">
        <w:rPr>
          <w:rFonts w:ascii="Arial" w:hAnsi="Arial" w:cs="Arial"/>
          <w:color w:val="808080"/>
          <w:sz w:val="20"/>
          <w:szCs w:val="20"/>
        </w:rPr>
        <w:t xml:space="preserve">De acuerdo con la información contenida en las Cuentas Anuales de los ejercicios 20XX, la Compañía ha efectuado pagos en concepto de </w:t>
      </w:r>
      <w:r w:rsidRPr="00374944">
        <w:rPr>
          <w:rFonts w:ascii="Arial" w:hAnsi="Arial" w:cs="Arial"/>
          <w:i/>
          <w:iCs/>
          <w:color w:val="808080"/>
          <w:sz w:val="20"/>
          <w:szCs w:val="20"/>
        </w:rPr>
        <w:t>royalty</w:t>
      </w:r>
      <w:r w:rsidRPr="00374944">
        <w:rPr>
          <w:rFonts w:ascii="Arial" w:hAnsi="Arial" w:cs="Arial"/>
          <w:color w:val="808080"/>
          <w:sz w:val="20"/>
          <w:szCs w:val="20"/>
        </w:rPr>
        <w:t xml:space="preserve"> a favor de [Entidad receptora], equivalentes al X % sobre su rentabilidad neta antes de impuestos.</w:t>
      </w:r>
    </w:p>
    <w:p w14:paraId="4E4FE1C5" w14:textId="77777777" w:rsidR="005B0842" w:rsidRPr="00374944" w:rsidRDefault="005B0842" w:rsidP="005B0842">
      <w:pPr>
        <w:spacing w:before="120" w:after="120" w:line="240" w:lineRule="atLeast"/>
        <w:jc w:val="both"/>
        <w:rPr>
          <w:rFonts w:ascii="Arial" w:hAnsi="Arial" w:cs="Arial"/>
          <w:color w:val="808080"/>
          <w:sz w:val="20"/>
          <w:szCs w:val="20"/>
        </w:rPr>
      </w:pPr>
      <w:r w:rsidRPr="00374944">
        <w:rPr>
          <w:rFonts w:ascii="Arial" w:hAnsi="Arial" w:cs="Arial"/>
          <w:color w:val="808080"/>
          <w:sz w:val="20"/>
          <w:szCs w:val="20"/>
        </w:rPr>
        <w:t>Sin embargo, dado que durante dichos ejercicios la Compañía ha registrado pérdidas tanto operativas como netas, la Agencia Estatal de Administración Tributaria (AEAT) podría cuestionar la razonabilidad y plena competencia de estos pagos en una eventual inspección.</w:t>
      </w:r>
    </w:p>
    <w:p w14:paraId="6995185B" w14:textId="77777777" w:rsidR="005B0842" w:rsidRPr="00374944" w:rsidRDefault="005B0842" w:rsidP="005B0842">
      <w:pPr>
        <w:spacing w:before="120" w:after="120" w:line="240" w:lineRule="atLeast"/>
        <w:jc w:val="both"/>
        <w:rPr>
          <w:rFonts w:ascii="Arial" w:hAnsi="Arial" w:cs="Arial"/>
          <w:color w:val="808080"/>
          <w:sz w:val="20"/>
          <w:szCs w:val="20"/>
        </w:rPr>
      </w:pPr>
      <w:r w:rsidRPr="00374944">
        <w:rPr>
          <w:rFonts w:ascii="Arial" w:hAnsi="Arial" w:cs="Arial"/>
          <w:color w:val="808080"/>
          <w:sz w:val="20"/>
          <w:szCs w:val="20"/>
        </w:rPr>
        <w:t xml:space="preserve">La Administración analiza con especial atención los </w:t>
      </w:r>
      <w:r w:rsidRPr="00374944">
        <w:rPr>
          <w:rFonts w:ascii="Arial" w:hAnsi="Arial" w:cs="Arial"/>
          <w:i/>
          <w:iCs/>
          <w:color w:val="808080"/>
          <w:sz w:val="20"/>
          <w:szCs w:val="20"/>
        </w:rPr>
        <w:t>royalties</w:t>
      </w:r>
      <w:r w:rsidRPr="00374944">
        <w:rPr>
          <w:rFonts w:ascii="Arial" w:hAnsi="Arial" w:cs="Arial"/>
          <w:color w:val="808080"/>
          <w:sz w:val="20"/>
          <w:szCs w:val="20"/>
        </w:rPr>
        <w:t xml:space="preserve"> satisfechos por entidades con resultados negativos, al considerar que una parte independiente no continuaría efectuando pagos por el uso de un intangible si no existiera una expectativa razonable de beneficio futuro derivado de dicho uso </w:t>
      </w:r>
    </w:p>
    <w:p w14:paraId="17D45A71" w14:textId="77777777" w:rsidR="005B0842" w:rsidRPr="00374944" w:rsidRDefault="005B0842" w:rsidP="005B0842">
      <w:pPr>
        <w:spacing w:before="120" w:after="120" w:line="240" w:lineRule="atLeast"/>
        <w:jc w:val="both"/>
        <w:rPr>
          <w:rFonts w:ascii="Arial" w:hAnsi="Arial" w:cs="Arial"/>
          <w:color w:val="808080"/>
          <w:sz w:val="20"/>
          <w:szCs w:val="20"/>
        </w:rPr>
      </w:pPr>
      <w:r w:rsidRPr="00374944">
        <w:rPr>
          <w:rFonts w:ascii="Arial" w:hAnsi="Arial" w:cs="Arial"/>
          <w:color w:val="808080"/>
          <w:sz w:val="20"/>
          <w:szCs w:val="20"/>
        </w:rPr>
        <w:t>En este contexto, se recomienda complementar la Documentación de Precios de Transferencia con:</w:t>
      </w:r>
    </w:p>
    <w:p w14:paraId="489E4C6F" w14:textId="77777777" w:rsidR="005B0842" w:rsidRPr="00374944" w:rsidRDefault="005B0842" w:rsidP="005B0842">
      <w:pPr>
        <w:numPr>
          <w:ilvl w:val="0"/>
          <w:numId w:val="5"/>
        </w:numPr>
        <w:spacing w:before="120" w:after="120" w:line="240" w:lineRule="atLeast"/>
        <w:jc w:val="both"/>
        <w:rPr>
          <w:rFonts w:ascii="Arial" w:hAnsi="Arial" w:cs="Arial"/>
          <w:color w:val="808080"/>
          <w:sz w:val="20"/>
          <w:szCs w:val="20"/>
        </w:rPr>
      </w:pPr>
      <w:r w:rsidRPr="00374944">
        <w:rPr>
          <w:rFonts w:ascii="Arial" w:hAnsi="Arial" w:cs="Arial"/>
          <w:color w:val="808080"/>
          <w:sz w:val="20"/>
          <w:szCs w:val="20"/>
        </w:rPr>
        <w:t>Un análisis económico que demuestre que el tipo del X % se encuentra dentro del rango de mercado; y</w:t>
      </w:r>
    </w:p>
    <w:p w14:paraId="7BE71EAE" w14:textId="77777777" w:rsidR="005B0842" w:rsidRPr="00374944" w:rsidRDefault="005B0842" w:rsidP="005B0842">
      <w:pPr>
        <w:numPr>
          <w:ilvl w:val="0"/>
          <w:numId w:val="5"/>
        </w:numPr>
        <w:spacing w:before="120" w:after="120" w:line="240" w:lineRule="atLeast"/>
        <w:jc w:val="both"/>
        <w:rPr>
          <w:rFonts w:ascii="Arial" w:hAnsi="Arial" w:cs="Arial"/>
          <w:color w:val="808080"/>
          <w:sz w:val="20"/>
          <w:szCs w:val="20"/>
        </w:rPr>
      </w:pPr>
      <w:r w:rsidRPr="00374944">
        <w:rPr>
          <w:rFonts w:ascii="Arial" w:hAnsi="Arial" w:cs="Arial"/>
          <w:color w:val="808080"/>
          <w:sz w:val="20"/>
          <w:szCs w:val="20"/>
        </w:rPr>
        <w:t>Una justificación técnica y funcional que acredite los beneficios concretos que la Compañía obtiene del uso del [Intangible], incluso en ejercicios con pérdidas (por ejemplo, ventajas tecnológicas, comerciales o reputacionales).</w:t>
      </w:r>
    </w:p>
    <w:p w14:paraId="6C90E9AD" w14:textId="77777777" w:rsidR="005B0842" w:rsidRPr="00374944" w:rsidRDefault="005B0842" w:rsidP="005B0842">
      <w:pPr>
        <w:spacing w:before="120" w:after="120" w:line="240" w:lineRule="atLeast"/>
        <w:jc w:val="both"/>
        <w:rPr>
          <w:rFonts w:ascii="Arial" w:hAnsi="Arial" w:cs="Arial"/>
          <w:color w:val="808080"/>
          <w:sz w:val="20"/>
          <w:szCs w:val="20"/>
        </w:rPr>
      </w:pPr>
      <w:r w:rsidRPr="00374944">
        <w:rPr>
          <w:rFonts w:ascii="Arial" w:hAnsi="Arial" w:cs="Arial"/>
          <w:color w:val="808080"/>
          <w:sz w:val="20"/>
          <w:szCs w:val="20"/>
        </w:rPr>
        <w:t>Esta documentación reforzará la defensibilidad del pago desde la perspectiva del principio de plena competencia y mitigará potenciales ajustes por parte de la Administración Tributaria.</w:t>
      </w:r>
    </w:p>
    <w:p w14:paraId="20788316" w14:textId="4AD24927"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10</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4C9A120E" w14:textId="77777777" w:rsidR="005B0842" w:rsidRDefault="005B0842"/>
    <w:p w14:paraId="6503B167" w14:textId="2E131017" w:rsidR="00D546C2" w:rsidRPr="009B44E7" w:rsidRDefault="009B44E7" w:rsidP="00D546C2">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lastRenderedPageBreak/>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11</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668160C8" w14:textId="4E1DB709" w:rsidR="00D546C2" w:rsidRPr="007018AF" w:rsidRDefault="00D546C2" w:rsidP="00D546C2">
      <w:pPr>
        <w:spacing w:before="120" w:after="120" w:line="240" w:lineRule="atLeast"/>
        <w:rPr>
          <w:rFonts w:ascii="Arial" w:hAnsi="Arial" w:cs="Arial"/>
          <w:b/>
          <w:bCs/>
          <w:color w:val="808080"/>
          <w:sz w:val="20"/>
          <w:szCs w:val="20"/>
        </w:rPr>
      </w:pPr>
      <w:r w:rsidRPr="007018AF">
        <w:rPr>
          <w:rFonts w:ascii="Arial" w:hAnsi="Arial" w:cs="Arial"/>
          <w:b/>
          <w:bCs/>
          <w:color w:val="808080"/>
          <w:sz w:val="20"/>
          <w:szCs w:val="20"/>
        </w:rPr>
        <w:t>PLI incorrecto o mal aplicado</w:t>
      </w:r>
    </w:p>
    <w:p w14:paraId="0C6ACFB9" w14:textId="77777777" w:rsidR="00D546C2" w:rsidRPr="007018AF" w:rsidRDefault="00D546C2" w:rsidP="00D546C2">
      <w:pPr>
        <w:spacing w:before="120" w:after="120" w:line="240" w:lineRule="atLeast"/>
        <w:jc w:val="both"/>
        <w:rPr>
          <w:rFonts w:ascii="Arial" w:hAnsi="Arial" w:cs="Arial"/>
          <w:color w:val="808080"/>
          <w:sz w:val="20"/>
          <w:szCs w:val="20"/>
        </w:rPr>
      </w:pPr>
      <w:r w:rsidRPr="007018AF">
        <w:rPr>
          <w:rFonts w:ascii="Arial" w:hAnsi="Arial" w:cs="Arial"/>
          <w:color w:val="808080"/>
          <w:sz w:val="20"/>
          <w:szCs w:val="20"/>
        </w:rPr>
        <w:t xml:space="preserve">En el </w:t>
      </w:r>
      <w:r w:rsidRPr="007018AF">
        <w:rPr>
          <w:rFonts w:ascii="Arial" w:hAnsi="Arial" w:cs="Arial"/>
          <w:i/>
          <w:iCs/>
          <w:color w:val="808080"/>
          <w:sz w:val="20"/>
          <w:szCs w:val="20"/>
        </w:rPr>
        <w:t>Local File</w:t>
      </w:r>
      <w:r w:rsidRPr="007018AF">
        <w:rPr>
          <w:rFonts w:ascii="Arial" w:hAnsi="Arial" w:cs="Arial"/>
          <w:color w:val="808080"/>
          <w:sz w:val="20"/>
          <w:szCs w:val="20"/>
        </w:rPr>
        <w:t xml:space="preserve"> se ha observado que el indicador de nivel de beneficio (Profit Level Indicator, PLI) utilizado en los análisis económicos podría no reflejar adecuadamente la estructura funcional y de riesgos de la Compañía.</w:t>
      </w:r>
    </w:p>
    <w:p w14:paraId="78AF915E" w14:textId="77777777" w:rsidR="00D546C2" w:rsidRPr="007018AF" w:rsidRDefault="00D546C2" w:rsidP="00D546C2">
      <w:pPr>
        <w:spacing w:before="120" w:after="120" w:line="240" w:lineRule="atLeast"/>
        <w:jc w:val="both"/>
        <w:rPr>
          <w:rFonts w:ascii="Arial" w:hAnsi="Arial" w:cs="Arial"/>
          <w:color w:val="808080"/>
          <w:sz w:val="20"/>
          <w:szCs w:val="20"/>
        </w:rPr>
      </w:pPr>
      <w:r w:rsidRPr="007018AF">
        <w:rPr>
          <w:rFonts w:ascii="Arial" w:hAnsi="Arial" w:cs="Arial"/>
          <w:color w:val="808080"/>
          <w:sz w:val="20"/>
          <w:szCs w:val="20"/>
        </w:rPr>
        <w:t>La muestra de comparables está integrada principalmente por entidades clasificadas bajo los códigos [CNAE 2009 / NACE Rev. 2], correspondientes a actividades de [fabricación/distribución], mientras que la Compañía desarrolla una actividad de naturaleza [fabricadora/distribuidora], lo que hace especialmente relevante la selección correcta del PLI para garantizar la consistencia del análisis.</w:t>
      </w:r>
    </w:p>
    <w:p w14:paraId="0268C6F4" w14:textId="77777777" w:rsidR="00D546C2" w:rsidRPr="007018AF" w:rsidRDefault="00D546C2" w:rsidP="00D546C2">
      <w:pPr>
        <w:spacing w:before="120" w:after="120" w:line="240" w:lineRule="atLeast"/>
        <w:jc w:val="both"/>
        <w:rPr>
          <w:rFonts w:ascii="Arial" w:hAnsi="Arial" w:cs="Arial"/>
          <w:color w:val="808080"/>
          <w:sz w:val="20"/>
          <w:szCs w:val="20"/>
        </w:rPr>
      </w:pPr>
      <w:r w:rsidRPr="007018AF">
        <w:rPr>
          <w:rFonts w:ascii="Arial" w:hAnsi="Arial" w:cs="Arial"/>
          <w:color w:val="808080"/>
          <w:sz w:val="20"/>
          <w:szCs w:val="20"/>
        </w:rPr>
        <w:t xml:space="preserve">Según las Directrices de la OCDE 2022 (Capítulo II, párrafo 2.64), el PLI debe seleccionarse en función de las características de la transacción y las funciones desempeñadas. Así, para actividades de fabricación suele ser más adecuado un indicador basado en los costes (por ejemplo, </w:t>
      </w:r>
      <w:r w:rsidRPr="007018AF">
        <w:rPr>
          <w:rFonts w:ascii="Arial" w:hAnsi="Arial" w:cs="Arial"/>
          <w:i/>
          <w:iCs/>
          <w:color w:val="808080"/>
          <w:sz w:val="20"/>
          <w:szCs w:val="20"/>
        </w:rPr>
        <w:t>Return on Total Costs</w:t>
      </w:r>
      <w:r w:rsidRPr="007018AF">
        <w:rPr>
          <w:rFonts w:ascii="Arial" w:hAnsi="Arial" w:cs="Arial"/>
          <w:color w:val="808080"/>
          <w:sz w:val="20"/>
          <w:szCs w:val="20"/>
        </w:rPr>
        <w:t xml:space="preserve"> o </w:t>
      </w:r>
      <w:r w:rsidRPr="007018AF">
        <w:rPr>
          <w:rFonts w:ascii="Arial" w:hAnsi="Arial" w:cs="Arial"/>
          <w:i/>
          <w:iCs/>
          <w:color w:val="808080"/>
          <w:sz w:val="20"/>
          <w:szCs w:val="20"/>
        </w:rPr>
        <w:t>Full Cost Mark-up</w:t>
      </w:r>
      <w:r w:rsidRPr="007018AF">
        <w:rPr>
          <w:rFonts w:ascii="Arial" w:hAnsi="Arial" w:cs="Arial"/>
          <w:color w:val="808080"/>
          <w:sz w:val="20"/>
          <w:szCs w:val="20"/>
        </w:rPr>
        <w:t xml:space="preserve">), mientras que para actividades de distribución resulta más apropiado un indicador basado en las ventas (por ejemplo, </w:t>
      </w:r>
      <w:r w:rsidRPr="007018AF">
        <w:rPr>
          <w:rFonts w:ascii="Arial" w:hAnsi="Arial" w:cs="Arial"/>
          <w:i/>
          <w:iCs/>
          <w:color w:val="808080"/>
          <w:sz w:val="20"/>
          <w:szCs w:val="20"/>
        </w:rPr>
        <w:t>Return on Sales</w:t>
      </w:r>
      <w:r w:rsidRPr="007018AF">
        <w:rPr>
          <w:rFonts w:ascii="Arial" w:hAnsi="Arial" w:cs="Arial"/>
          <w:color w:val="808080"/>
          <w:sz w:val="20"/>
          <w:szCs w:val="20"/>
        </w:rPr>
        <w:t>).</w:t>
      </w:r>
    </w:p>
    <w:p w14:paraId="08A51F3D" w14:textId="77777777" w:rsidR="00D546C2" w:rsidRPr="007018AF" w:rsidRDefault="00D546C2" w:rsidP="00D546C2">
      <w:pPr>
        <w:spacing w:before="120" w:after="120" w:line="240" w:lineRule="atLeast"/>
        <w:jc w:val="both"/>
        <w:rPr>
          <w:rFonts w:ascii="Arial" w:hAnsi="Arial" w:cs="Arial"/>
          <w:color w:val="808080"/>
          <w:sz w:val="20"/>
          <w:szCs w:val="20"/>
        </w:rPr>
      </w:pPr>
      <w:r w:rsidRPr="007018AF">
        <w:rPr>
          <w:rFonts w:ascii="Arial" w:hAnsi="Arial" w:cs="Arial"/>
          <w:color w:val="808080"/>
          <w:sz w:val="20"/>
          <w:szCs w:val="20"/>
        </w:rPr>
        <w:t>En este caso, la aplicación del [PLI utilizado] no parece reflejar con precisión la forma en que la entidad crea valor, lo que podría dar lugar a un cuestionamiento metodológico en caso de inspección, con la eventual sustitución del indicador por otro más coherente con las funciones desempeñadas.</w:t>
      </w:r>
    </w:p>
    <w:p w14:paraId="41AC1B2A" w14:textId="77777777" w:rsidR="00D546C2" w:rsidRPr="007018AF" w:rsidRDefault="00D546C2" w:rsidP="00D546C2">
      <w:pPr>
        <w:spacing w:before="120" w:after="120" w:line="240" w:lineRule="atLeast"/>
        <w:jc w:val="both"/>
        <w:rPr>
          <w:rFonts w:ascii="Arial" w:hAnsi="Arial" w:cs="Arial"/>
          <w:color w:val="808080"/>
          <w:sz w:val="20"/>
          <w:szCs w:val="20"/>
        </w:rPr>
      </w:pPr>
      <w:r w:rsidRPr="007018AF">
        <w:rPr>
          <w:rFonts w:ascii="Arial" w:hAnsi="Arial" w:cs="Arial"/>
          <w:color w:val="808080"/>
          <w:sz w:val="20"/>
          <w:szCs w:val="20"/>
        </w:rPr>
        <w:t>Por todo ello, se recomienda revisar la idoneidad del PLI seleccionado, asegurando que:</w:t>
      </w:r>
    </w:p>
    <w:p w14:paraId="029AE6FB" w14:textId="77777777" w:rsidR="00D546C2" w:rsidRPr="007018AF" w:rsidRDefault="00D546C2" w:rsidP="00D546C2">
      <w:pPr>
        <w:numPr>
          <w:ilvl w:val="0"/>
          <w:numId w:val="6"/>
        </w:numPr>
        <w:spacing w:before="120" w:after="120" w:line="240" w:lineRule="atLeast"/>
        <w:jc w:val="both"/>
        <w:rPr>
          <w:rFonts w:ascii="Arial" w:hAnsi="Arial" w:cs="Arial"/>
          <w:color w:val="808080"/>
          <w:sz w:val="20"/>
          <w:szCs w:val="20"/>
        </w:rPr>
      </w:pPr>
      <w:r w:rsidRPr="007018AF">
        <w:rPr>
          <w:rFonts w:ascii="Arial" w:hAnsi="Arial" w:cs="Arial"/>
          <w:color w:val="808080"/>
          <w:sz w:val="20"/>
          <w:szCs w:val="20"/>
        </w:rPr>
        <w:t>Sea consistente con el perfil funcional y de riesgo de la Compañía.</w:t>
      </w:r>
    </w:p>
    <w:p w14:paraId="0B9BCF61" w14:textId="77777777" w:rsidR="00D546C2" w:rsidRPr="007018AF" w:rsidRDefault="00D546C2" w:rsidP="00D546C2">
      <w:pPr>
        <w:numPr>
          <w:ilvl w:val="0"/>
          <w:numId w:val="6"/>
        </w:numPr>
        <w:spacing w:before="120" w:after="120" w:line="240" w:lineRule="atLeast"/>
        <w:jc w:val="both"/>
        <w:rPr>
          <w:rFonts w:ascii="Arial" w:hAnsi="Arial" w:cs="Arial"/>
          <w:color w:val="808080"/>
          <w:sz w:val="20"/>
          <w:szCs w:val="20"/>
        </w:rPr>
      </w:pPr>
      <w:r w:rsidRPr="007018AF">
        <w:rPr>
          <w:rFonts w:ascii="Arial" w:hAnsi="Arial" w:cs="Arial"/>
          <w:color w:val="808080"/>
          <w:sz w:val="20"/>
          <w:szCs w:val="20"/>
        </w:rPr>
        <w:t>Guarde coherencia con los comparables seleccionados.</w:t>
      </w:r>
    </w:p>
    <w:p w14:paraId="736F6573" w14:textId="77777777" w:rsidR="00D546C2" w:rsidRPr="007018AF" w:rsidRDefault="00D546C2" w:rsidP="00D546C2">
      <w:pPr>
        <w:numPr>
          <w:ilvl w:val="0"/>
          <w:numId w:val="6"/>
        </w:numPr>
        <w:spacing w:before="120" w:after="120" w:line="240" w:lineRule="atLeast"/>
        <w:jc w:val="both"/>
        <w:rPr>
          <w:rFonts w:ascii="Arial" w:hAnsi="Arial" w:cs="Arial"/>
          <w:color w:val="808080"/>
          <w:sz w:val="20"/>
          <w:szCs w:val="20"/>
        </w:rPr>
      </w:pPr>
      <w:r w:rsidRPr="007018AF">
        <w:rPr>
          <w:rFonts w:ascii="Arial" w:hAnsi="Arial" w:cs="Arial"/>
          <w:color w:val="808080"/>
          <w:sz w:val="20"/>
          <w:szCs w:val="20"/>
        </w:rPr>
        <w:t>Se documente expresamente la justificación económica y técnica de su elección, conforme a lo previsto en el artículo 16 RIS y las Directrices OCDE 2022.</w:t>
      </w:r>
    </w:p>
    <w:p w14:paraId="1393D9DE" w14:textId="77777777" w:rsidR="00D546C2" w:rsidRPr="007018AF" w:rsidRDefault="00D546C2" w:rsidP="00D546C2">
      <w:pPr>
        <w:spacing w:before="120" w:after="120" w:line="240" w:lineRule="atLeast"/>
        <w:jc w:val="both"/>
        <w:rPr>
          <w:rFonts w:ascii="Arial" w:hAnsi="Arial" w:cs="Arial"/>
          <w:color w:val="808080"/>
          <w:sz w:val="20"/>
          <w:szCs w:val="20"/>
        </w:rPr>
      </w:pPr>
      <w:r w:rsidRPr="007018AF">
        <w:rPr>
          <w:rFonts w:ascii="Arial" w:hAnsi="Arial" w:cs="Arial"/>
          <w:color w:val="808080"/>
          <w:sz w:val="20"/>
          <w:szCs w:val="20"/>
        </w:rPr>
        <w:t>Esta revisión reforzará la solidez metodológica del análisis económico y reducirá el riesgo de ajustes por discrepancias en la elección del indicador de rentabilidad.</w:t>
      </w:r>
    </w:p>
    <w:p w14:paraId="6269F505" w14:textId="06C57BA1"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11</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74488C99" w14:textId="561240E6" w:rsidR="009B44E7" w:rsidRDefault="009B44E7" w:rsidP="00A36A81">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12</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4B6BEF62" w14:textId="1309A696" w:rsidR="00A36A81" w:rsidRPr="00316A54" w:rsidRDefault="00A36A81" w:rsidP="00A36A81">
      <w:pPr>
        <w:spacing w:before="120" w:after="120" w:line="240" w:lineRule="atLeast"/>
        <w:rPr>
          <w:rFonts w:ascii="Arial" w:hAnsi="Arial" w:cs="Arial"/>
          <w:b/>
          <w:bCs/>
          <w:color w:val="808080"/>
          <w:sz w:val="20"/>
          <w:szCs w:val="20"/>
        </w:rPr>
      </w:pPr>
      <w:r w:rsidRPr="00316A54">
        <w:rPr>
          <w:rFonts w:ascii="Arial" w:hAnsi="Arial" w:cs="Arial"/>
          <w:b/>
          <w:bCs/>
          <w:color w:val="808080"/>
          <w:sz w:val="20"/>
          <w:szCs w:val="20"/>
        </w:rPr>
        <w:t>Preparación de la documentación de manera contemporánea</w:t>
      </w:r>
    </w:p>
    <w:p w14:paraId="06CB5E3E" w14:textId="77777777" w:rsidR="00A36A81" w:rsidRPr="00316A54" w:rsidRDefault="00A36A81" w:rsidP="00A36A81">
      <w:pPr>
        <w:spacing w:before="120" w:after="120" w:line="240" w:lineRule="atLeast"/>
        <w:jc w:val="both"/>
        <w:rPr>
          <w:rFonts w:ascii="Arial" w:hAnsi="Arial" w:cs="Arial"/>
          <w:color w:val="808080"/>
          <w:sz w:val="20"/>
          <w:szCs w:val="20"/>
        </w:rPr>
      </w:pPr>
      <w:r w:rsidRPr="00316A54">
        <w:rPr>
          <w:rFonts w:ascii="Arial" w:hAnsi="Arial" w:cs="Arial"/>
          <w:color w:val="808080"/>
          <w:sz w:val="20"/>
          <w:szCs w:val="20"/>
        </w:rPr>
        <w:t>De conformidad con lo dispuesto en el artículo 13.2.b) del Reglamento del Impuesto sobre Sociedades (RIS), la documentación de precios de transferencia debe estar a disposición de la Administración tributaria a partir de la finalización del plazo voluntario de declaración del Impuesto sobre Sociedades.</w:t>
      </w:r>
    </w:p>
    <w:p w14:paraId="42EB299E" w14:textId="77777777" w:rsidR="00A36A81" w:rsidRPr="00316A54" w:rsidRDefault="00A36A81" w:rsidP="00A36A81">
      <w:pPr>
        <w:spacing w:before="120" w:after="120" w:line="240" w:lineRule="atLeast"/>
        <w:jc w:val="both"/>
        <w:rPr>
          <w:rFonts w:ascii="Arial" w:hAnsi="Arial" w:cs="Arial"/>
          <w:color w:val="808080"/>
          <w:sz w:val="20"/>
          <w:szCs w:val="20"/>
        </w:rPr>
      </w:pPr>
      <w:r w:rsidRPr="00316A54">
        <w:rPr>
          <w:rFonts w:ascii="Arial" w:hAnsi="Arial" w:cs="Arial"/>
          <w:color w:val="808080"/>
          <w:sz w:val="20"/>
          <w:szCs w:val="20"/>
        </w:rPr>
        <w:t>En consecuencia, el Local File de la Compañía correspondiente al ejercicio 202X debería haber estado preparado y disponible para la Agencia Estatal de Administración Tributaria (AEAT) desde el 25 de julio de 202X.</w:t>
      </w:r>
    </w:p>
    <w:p w14:paraId="52A87BF9" w14:textId="77777777" w:rsidR="00A36A81" w:rsidRPr="00316A54" w:rsidRDefault="00A36A81" w:rsidP="00A36A81">
      <w:pPr>
        <w:spacing w:before="120" w:after="120" w:line="240" w:lineRule="atLeast"/>
        <w:jc w:val="both"/>
        <w:rPr>
          <w:rFonts w:ascii="Arial" w:hAnsi="Arial" w:cs="Arial"/>
          <w:color w:val="808080"/>
          <w:sz w:val="20"/>
          <w:szCs w:val="20"/>
        </w:rPr>
      </w:pPr>
      <w:r w:rsidRPr="00316A54">
        <w:rPr>
          <w:rFonts w:ascii="Arial" w:hAnsi="Arial" w:cs="Arial"/>
          <w:color w:val="808080"/>
          <w:sz w:val="20"/>
          <w:szCs w:val="20"/>
        </w:rPr>
        <w:t>Asimismo, el Tribunal Superior de Justicia de Cataluña, en su Sentencia 483/2022, de 11 de febrero, ha destacado la relevancia de que los contribuyentes puedan acreditar que la documentación de precios de transferencia se ha elaborado de forma contemporánea, es decir, dentro del plazo legalmente exigido.</w:t>
      </w:r>
    </w:p>
    <w:p w14:paraId="24A8D6AD" w14:textId="77777777" w:rsidR="00A36A81" w:rsidRPr="00316A54" w:rsidRDefault="00A36A81" w:rsidP="00A36A81">
      <w:pPr>
        <w:spacing w:before="120" w:after="120" w:line="240" w:lineRule="atLeast"/>
        <w:jc w:val="both"/>
        <w:rPr>
          <w:rFonts w:ascii="Arial" w:hAnsi="Arial" w:cs="Arial"/>
          <w:color w:val="808080"/>
          <w:sz w:val="20"/>
          <w:szCs w:val="20"/>
        </w:rPr>
      </w:pPr>
      <w:r w:rsidRPr="00316A54">
        <w:rPr>
          <w:rFonts w:ascii="Arial" w:hAnsi="Arial" w:cs="Arial"/>
          <w:color w:val="808080"/>
          <w:sz w:val="20"/>
          <w:szCs w:val="20"/>
        </w:rPr>
        <w:t>No obstante, se ha verificado que tanto el Local File como los anexos que contienen los análisis económicos elaborados mediante la base de datos [Base de datos utilizada] reflejan que las búsquedas fueron realizadas con posterioridad al momento en que la Compañía debía tener la documentación a disposición de la Administración Tributaria.</w:t>
      </w:r>
    </w:p>
    <w:p w14:paraId="7C406ECE" w14:textId="77777777" w:rsidR="00A36A81" w:rsidRPr="00316A54" w:rsidRDefault="00A36A81" w:rsidP="00A36A81">
      <w:pPr>
        <w:spacing w:before="120" w:after="120" w:line="240" w:lineRule="atLeast"/>
        <w:jc w:val="both"/>
        <w:rPr>
          <w:rFonts w:ascii="Arial" w:hAnsi="Arial" w:cs="Arial"/>
          <w:color w:val="808080"/>
          <w:sz w:val="20"/>
          <w:szCs w:val="20"/>
        </w:rPr>
      </w:pPr>
      <w:r w:rsidRPr="00316A54">
        <w:rPr>
          <w:rFonts w:ascii="Arial" w:hAnsi="Arial" w:cs="Arial"/>
          <w:color w:val="808080"/>
          <w:sz w:val="20"/>
          <w:szCs w:val="20"/>
        </w:rPr>
        <w:t xml:space="preserve">En atención a lo anterior, se recomienda eliminar las referencias explícitas a las actualizaciones de la base de datos o, alternativamente, incluir una nota aclaratoria que precise que dichas actualizaciones no modifican sustancialmente las conclusiones del análisis. Esta medida contribuirá a evitar posibles cuestionamientos sobre la contemporaneidad de la </w:t>
      </w:r>
      <w:r w:rsidRPr="00316A54">
        <w:rPr>
          <w:rFonts w:ascii="Arial" w:hAnsi="Arial" w:cs="Arial"/>
          <w:color w:val="808080"/>
          <w:sz w:val="20"/>
          <w:szCs w:val="20"/>
        </w:rPr>
        <w:lastRenderedPageBreak/>
        <w:t>documentación y a garantizar el cumplimiento formal de las obligaciones establecidas por la normativa vigente.</w:t>
      </w:r>
    </w:p>
    <w:p w14:paraId="6D36C4B8" w14:textId="1C4977E2"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12</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60A1F63C" w14:textId="2273008A" w:rsidR="00790D69" w:rsidRPr="009B44E7" w:rsidRDefault="009B44E7" w:rsidP="009B44E7">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13</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383C4AF7" w14:textId="77777777" w:rsidR="00790D69" w:rsidRPr="00254C87" w:rsidRDefault="00790D69" w:rsidP="00790D69">
      <w:pPr>
        <w:spacing w:before="120" w:after="120" w:line="240" w:lineRule="atLeast"/>
        <w:rPr>
          <w:rFonts w:ascii="Arial" w:hAnsi="Arial" w:cs="Arial"/>
          <w:b/>
          <w:bCs/>
          <w:color w:val="808080"/>
          <w:sz w:val="20"/>
          <w:szCs w:val="20"/>
        </w:rPr>
      </w:pPr>
      <w:r w:rsidRPr="00254C87">
        <w:rPr>
          <w:rFonts w:ascii="Arial" w:hAnsi="Arial" w:cs="Arial"/>
          <w:b/>
          <w:bCs/>
          <w:color w:val="808080"/>
          <w:sz w:val="20"/>
          <w:szCs w:val="20"/>
        </w:rPr>
        <w:t>Rangos de mercado demasiado amplios</w:t>
      </w:r>
    </w:p>
    <w:p w14:paraId="7C14B4C7" w14:textId="77777777" w:rsidR="00790D69" w:rsidRPr="00254C87" w:rsidRDefault="00790D69" w:rsidP="00790D69">
      <w:pPr>
        <w:spacing w:before="120" w:after="120" w:line="240" w:lineRule="atLeast"/>
        <w:jc w:val="both"/>
        <w:rPr>
          <w:rFonts w:ascii="Arial" w:hAnsi="Arial" w:cs="Arial"/>
          <w:color w:val="808080"/>
          <w:sz w:val="20"/>
          <w:szCs w:val="20"/>
        </w:rPr>
      </w:pPr>
      <w:r w:rsidRPr="00254C87">
        <w:rPr>
          <w:rFonts w:ascii="Arial" w:hAnsi="Arial" w:cs="Arial"/>
          <w:color w:val="808080"/>
          <w:sz w:val="20"/>
          <w:szCs w:val="20"/>
        </w:rPr>
        <w:t>Tal y como se observa en las Tablas X, X y X del presente Documento, los rangos de mercado determinados a partir de las compañías comparables aceptadas presentan una amplitud significativa. En particular, el rango correspondiente a la [Operativa A] se sitúa entre XX% y XX%, mientras que el de la [Operativa B] abarca de XX% a XX%.</w:t>
      </w:r>
    </w:p>
    <w:p w14:paraId="41682856" w14:textId="77777777" w:rsidR="00790D69" w:rsidRPr="00254C87" w:rsidRDefault="00790D69" w:rsidP="00790D69">
      <w:pPr>
        <w:spacing w:before="120" w:after="120" w:line="240" w:lineRule="atLeast"/>
        <w:jc w:val="both"/>
        <w:rPr>
          <w:rFonts w:ascii="Arial" w:hAnsi="Arial" w:cs="Arial"/>
          <w:color w:val="808080"/>
          <w:sz w:val="20"/>
          <w:szCs w:val="20"/>
        </w:rPr>
      </w:pPr>
      <w:r w:rsidRPr="00254C87">
        <w:rPr>
          <w:rFonts w:ascii="Arial" w:hAnsi="Arial" w:cs="Arial"/>
          <w:color w:val="808080"/>
          <w:sz w:val="20"/>
          <w:szCs w:val="20"/>
        </w:rPr>
        <w:t>De acuerdo con las Directrices OCDE 2022 (Capítulo III) y con la Nota de la AEAT sobre diversas cuestiones relativas al rango de plena competencia (2019), una amplia dispersión del rango puede reflejar que ciertos datos o comparables no sean plenamente fiables, o que existan diferencias de comparabilidad que requieran ajustes. En concreto, las citadas Directrices señalan que:</w:t>
      </w:r>
    </w:p>
    <w:p w14:paraId="53E03066" w14:textId="77777777" w:rsidR="00790D69" w:rsidRPr="00254C87" w:rsidRDefault="00790D69" w:rsidP="00790D69">
      <w:pPr>
        <w:spacing w:before="120" w:after="120" w:line="240" w:lineRule="atLeast"/>
        <w:jc w:val="both"/>
        <w:rPr>
          <w:rFonts w:ascii="Arial" w:hAnsi="Arial" w:cs="Arial"/>
          <w:color w:val="808080"/>
          <w:sz w:val="20"/>
          <w:szCs w:val="20"/>
        </w:rPr>
      </w:pPr>
      <w:r w:rsidRPr="00254C87">
        <w:rPr>
          <w:rFonts w:ascii="Arial" w:hAnsi="Arial" w:cs="Arial"/>
          <w:i/>
          <w:iCs/>
          <w:color w:val="808080"/>
          <w:sz w:val="20"/>
          <w:szCs w:val="20"/>
        </w:rPr>
        <w:t>“Una desviación importante entre los puntos del rango puede indicar que los datos utilizados para concretar algunos puntos tal vez no sean tan fiables [...] En tales casos, puede ser necesario un análisis más detenido para evaluar la idoneidad de su inclusión en el rango de plena competencia.”</w:t>
      </w:r>
    </w:p>
    <w:p w14:paraId="5AADABFE" w14:textId="77777777" w:rsidR="00790D69" w:rsidRPr="00254C87" w:rsidRDefault="00790D69" w:rsidP="00790D69">
      <w:pPr>
        <w:spacing w:before="120" w:after="120" w:line="240" w:lineRule="atLeast"/>
        <w:jc w:val="both"/>
        <w:rPr>
          <w:rFonts w:ascii="Arial" w:hAnsi="Arial" w:cs="Arial"/>
          <w:color w:val="808080"/>
          <w:sz w:val="20"/>
          <w:szCs w:val="20"/>
        </w:rPr>
      </w:pPr>
      <w:r w:rsidRPr="00254C87">
        <w:rPr>
          <w:rFonts w:ascii="Arial" w:hAnsi="Arial" w:cs="Arial"/>
          <w:color w:val="808080"/>
          <w:sz w:val="20"/>
          <w:szCs w:val="20"/>
        </w:rPr>
        <w:t xml:space="preserve">En línea con este principio, la AEAT enfatiza que </w:t>
      </w:r>
      <w:r w:rsidRPr="00254C87">
        <w:rPr>
          <w:rFonts w:ascii="Arial" w:hAnsi="Arial" w:cs="Arial"/>
          <w:i/>
          <w:iCs/>
          <w:color w:val="808080"/>
          <w:sz w:val="20"/>
          <w:szCs w:val="20"/>
        </w:rPr>
        <w:t>“una amplia dispersión en el rango debe invitar a un análisis más detenido para valorar la procedencia de eliminar aquellos puntos menos fiables o realizar ajustes de comparabilidad en los puntos que los precisen.”</w:t>
      </w:r>
    </w:p>
    <w:p w14:paraId="53AC218A" w14:textId="77777777" w:rsidR="00790D69" w:rsidRPr="00254C87" w:rsidRDefault="00790D69" w:rsidP="00790D69">
      <w:pPr>
        <w:spacing w:before="120" w:after="120" w:line="240" w:lineRule="atLeast"/>
        <w:jc w:val="both"/>
        <w:rPr>
          <w:rFonts w:ascii="Arial" w:hAnsi="Arial" w:cs="Arial"/>
          <w:color w:val="808080"/>
          <w:sz w:val="20"/>
          <w:szCs w:val="20"/>
        </w:rPr>
      </w:pPr>
      <w:r w:rsidRPr="00254C87">
        <w:rPr>
          <w:rFonts w:ascii="Arial" w:hAnsi="Arial" w:cs="Arial"/>
          <w:color w:val="808080"/>
          <w:sz w:val="20"/>
          <w:szCs w:val="20"/>
        </w:rPr>
        <w:t>En consecuencia, se recomienda realizar un análisis específico de la dispersión observada, con el objetivo de:</w:t>
      </w:r>
    </w:p>
    <w:p w14:paraId="0D8F850D" w14:textId="77777777" w:rsidR="00790D69" w:rsidRPr="00254C87" w:rsidRDefault="00790D69" w:rsidP="00790D69">
      <w:pPr>
        <w:numPr>
          <w:ilvl w:val="0"/>
          <w:numId w:val="7"/>
        </w:numPr>
        <w:spacing w:before="120" w:after="120" w:line="240" w:lineRule="atLeast"/>
        <w:jc w:val="both"/>
        <w:rPr>
          <w:rFonts w:ascii="Arial" w:hAnsi="Arial" w:cs="Arial"/>
          <w:color w:val="808080"/>
          <w:sz w:val="20"/>
          <w:szCs w:val="20"/>
        </w:rPr>
      </w:pPr>
      <w:r w:rsidRPr="00254C87">
        <w:rPr>
          <w:rFonts w:ascii="Arial" w:hAnsi="Arial" w:cs="Arial"/>
          <w:color w:val="808080"/>
          <w:sz w:val="20"/>
          <w:szCs w:val="20"/>
        </w:rPr>
        <w:t>Identificar las causas que explican la amplitud de los rangos;</w:t>
      </w:r>
    </w:p>
    <w:p w14:paraId="55EFF600" w14:textId="77777777" w:rsidR="00790D69" w:rsidRPr="00254C87" w:rsidRDefault="00790D69" w:rsidP="00790D69">
      <w:pPr>
        <w:numPr>
          <w:ilvl w:val="0"/>
          <w:numId w:val="7"/>
        </w:numPr>
        <w:spacing w:before="120" w:after="120" w:line="240" w:lineRule="atLeast"/>
        <w:jc w:val="both"/>
        <w:rPr>
          <w:rFonts w:ascii="Arial" w:hAnsi="Arial" w:cs="Arial"/>
          <w:color w:val="808080"/>
          <w:sz w:val="20"/>
          <w:szCs w:val="20"/>
        </w:rPr>
      </w:pPr>
      <w:r w:rsidRPr="00254C87">
        <w:rPr>
          <w:rFonts w:ascii="Arial" w:hAnsi="Arial" w:cs="Arial"/>
          <w:color w:val="808080"/>
          <w:sz w:val="20"/>
          <w:szCs w:val="20"/>
        </w:rPr>
        <w:t>Determinar si dicha amplitud deriva de diferencias de comparabilidad o de defectos en los datos; y</w:t>
      </w:r>
    </w:p>
    <w:p w14:paraId="6173F2F3" w14:textId="0628CB81" w:rsidR="00790D69" w:rsidRPr="009F49C0" w:rsidRDefault="00790D69" w:rsidP="009F49C0">
      <w:pPr>
        <w:numPr>
          <w:ilvl w:val="0"/>
          <w:numId w:val="7"/>
        </w:numPr>
        <w:spacing w:before="120" w:after="120" w:line="240" w:lineRule="atLeast"/>
        <w:jc w:val="both"/>
        <w:rPr>
          <w:rFonts w:ascii="Arial" w:hAnsi="Arial" w:cs="Arial"/>
          <w:color w:val="808080"/>
          <w:sz w:val="20"/>
          <w:szCs w:val="20"/>
        </w:rPr>
      </w:pPr>
      <w:r w:rsidRPr="00254C87">
        <w:rPr>
          <w:rFonts w:ascii="Arial" w:hAnsi="Arial" w:cs="Arial"/>
          <w:color w:val="808080"/>
          <w:sz w:val="20"/>
          <w:szCs w:val="20"/>
        </w:rPr>
        <w:t>Aplicar, en su caso, ajustes de depuración o justificaciones técnicas que refuercen la fiabilidad del rango de plena competencia.</w:t>
      </w:r>
    </w:p>
    <w:p w14:paraId="68186FAF" w14:textId="61AA04AA"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13</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46CBA896" w14:textId="77777777" w:rsidR="0037013C" w:rsidRDefault="0037013C" w:rsidP="007074FF">
      <w:pPr>
        <w:spacing w:before="120" w:after="120" w:line="240" w:lineRule="atLeast"/>
      </w:pPr>
    </w:p>
    <w:p w14:paraId="20DC690C" w14:textId="222D8172" w:rsidR="009B44E7" w:rsidRDefault="009B44E7" w:rsidP="007074FF">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14</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7204BC72" w14:textId="0626FD9F" w:rsidR="007074FF" w:rsidRPr="005E5B82" w:rsidRDefault="007074FF" w:rsidP="007074FF">
      <w:pPr>
        <w:spacing w:before="120" w:after="120" w:line="240" w:lineRule="atLeast"/>
        <w:rPr>
          <w:rFonts w:ascii="Arial" w:hAnsi="Arial" w:cs="Arial"/>
          <w:b/>
          <w:bCs/>
          <w:color w:val="808080"/>
          <w:sz w:val="20"/>
          <w:szCs w:val="20"/>
        </w:rPr>
      </w:pPr>
      <w:r w:rsidRPr="005E5B82">
        <w:rPr>
          <w:rFonts w:ascii="Arial" w:hAnsi="Arial" w:cs="Arial"/>
          <w:b/>
          <w:bCs/>
          <w:color w:val="808080"/>
          <w:sz w:val="20"/>
          <w:szCs w:val="20"/>
        </w:rPr>
        <w:t>Rentabilidad utilizada ponderando la rentabilidad de varios años</w:t>
      </w:r>
    </w:p>
    <w:p w14:paraId="3ABE4824" w14:textId="77777777" w:rsidR="007074FF" w:rsidRPr="005E5B82" w:rsidRDefault="007074FF" w:rsidP="007074FF">
      <w:pPr>
        <w:spacing w:before="120" w:after="120" w:line="240" w:lineRule="atLeast"/>
        <w:jc w:val="both"/>
        <w:rPr>
          <w:rFonts w:ascii="Arial" w:hAnsi="Arial" w:cs="Arial"/>
          <w:color w:val="808080"/>
          <w:sz w:val="20"/>
          <w:szCs w:val="20"/>
        </w:rPr>
      </w:pPr>
      <w:r w:rsidRPr="005E5B82">
        <w:rPr>
          <w:rFonts w:ascii="Arial" w:hAnsi="Arial" w:cs="Arial"/>
          <w:color w:val="808080"/>
          <w:sz w:val="20"/>
          <w:szCs w:val="20"/>
        </w:rPr>
        <w:t xml:space="preserve">En el </w:t>
      </w:r>
      <w:r w:rsidRPr="005E5B82">
        <w:rPr>
          <w:rFonts w:ascii="Arial" w:hAnsi="Arial" w:cs="Arial"/>
          <w:i/>
          <w:iCs/>
          <w:color w:val="808080"/>
          <w:sz w:val="20"/>
          <w:szCs w:val="20"/>
        </w:rPr>
        <w:t>Local File</w:t>
      </w:r>
      <w:r w:rsidRPr="005E5B82">
        <w:rPr>
          <w:rFonts w:ascii="Arial" w:hAnsi="Arial" w:cs="Arial"/>
          <w:color w:val="808080"/>
          <w:sz w:val="20"/>
          <w:szCs w:val="20"/>
        </w:rPr>
        <w:t xml:space="preserve"> se ha incluido la rentabilidad sobre costes ponderada obtenida por la Compañía durante el período [20XX–20XX].</w:t>
      </w:r>
    </w:p>
    <w:p w14:paraId="30E2681E" w14:textId="77777777" w:rsidR="007074FF" w:rsidRPr="005E5B82" w:rsidRDefault="007074FF" w:rsidP="007074FF">
      <w:pPr>
        <w:spacing w:before="120" w:after="120" w:line="240" w:lineRule="atLeast"/>
        <w:jc w:val="both"/>
        <w:rPr>
          <w:rFonts w:ascii="Arial" w:hAnsi="Arial" w:cs="Arial"/>
          <w:color w:val="808080"/>
          <w:sz w:val="20"/>
          <w:szCs w:val="20"/>
        </w:rPr>
      </w:pPr>
      <w:r w:rsidRPr="005E5B82">
        <w:rPr>
          <w:rFonts w:ascii="Arial" w:hAnsi="Arial" w:cs="Arial"/>
          <w:color w:val="808080"/>
          <w:sz w:val="20"/>
          <w:szCs w:val="20"/>
        </w:rPr>
        <w:t>Conforme a la sentencia de la Audiencia Nacional n.º 1072/2019, de 6 de marzo, resulta adecuado considerar un horizonte plurianual en el análisis de comparabilidad, con el fin de atenuar las distorsiones derivadas de la volatilidad de resultados en ejercicios aislados.</w:t>
      </w:r>
    </w:p>
    <w:p w14:paraId="78C114F8" w14:textId="77777777" w:rsidR="007074FF" w:rsidRPr="005E5B82" w:rsidRDefault="007074FF" w:rsidP="007074FF">
      <w:pPr>
        <w:spacing w:before="120" w:after="120" w:line="240" w:lineRule="atLeast"/>
        <w:jc w:val="both"/>
        <w:rPr>
          <w:rFonts w:ascii="Arial" w:hAnsi="Arial" w:cs="Arial"/>
          <w:color w:val="808080"/>
          <w:sz w:val="20"/>
          <w:szCs w:val="20"/>
        </w:rPr>
      </w:pPr>
      <w:r w:rsidRPr="005E5B82">
        <w:rPr>
          <w:rFonts w:ascii="Arial" w:hAnsi="Arial" w:cs="Arial"/>
          <w:color w:val="808080"/>
          <w:sz w:val="20"/>
          <w:szCs w:val="20"/>
        </w:rPr>
        <w:t>No obstante, la citada resolución —en línea con las Directrices OCDE 2022 (Cap. III, párrafos 3.75–3.79)— subraya que los resultados deben ser objeto de un examen individualizado por ejercicio fiscal, para reflejar con precisión la realidad económica de la entidad y garantizar que los precios de transferencia se mantengan dentro del rango de plena competencia en cada período.</w:t>
      </w:r>
    </w:p>
    <w:p w14:paraId="224E78A3" w14:textId="77777777" w:rsidR="007074FF" w:rsidRPr="005E5B82" w:rsidRDefault="007074FF" w:rsidP="007074FF">
      <w:pPr>
        <w:spacing w:before="120" w:after="120" w:line="240" w:lineRule="atLeast"/>
        <w:jc w:val="both"/>
        <w:rPr>
          <w:rFonts w:ascii="Arial" w:hAnsi="Arial" w:cs="Arial"/>
          <w:color w:val="808080"/>
          <w:sz w:val="20"/>
          <w:szCs w:val="20"/>
        </w:rPr>
      </w:pPr>
      <w:r w:rsidRPr="005E5B82">
        <w:rPr>
          <w:rFonts w:ascii="Arial" w:hAnsi="Arial" w:cs="Arial"/>
          <w:color w:val="808080"/>
          <w:sz w:val="20"/>
          <w:szCs w:val="20"/>
        </w:rPr>
        <w:t xml:space="preserve">En consecuencia, y con el objetivo de reforzar la consistencia y exhaustividad del </w:t>
      </w:r>
      <w:r w:rsidRPr="005E5B82">
        <w:rPr>
          <w:rFonts w:ascii="Arial" w:hAnsi="Arial" w:cs="Arial"/>
          <w:i/>
          <w:iCs/>
          <w:color w:val="808080"/>
          <w:sz w:val="20"/>
          <w:szCs w:val="20"/>
        </w:rPr>
        <w:t>Local File</w:t>
      </w:r>
      <w:r w:rsidRPr="005E5B82">
        <w:rPr>
          <w:rFonts w:ascii="Arial" w:hAnsi="Arial" w:cs="Arial"/>
          <w:color w:val="808080"/>
          <w:sz w:val="20"/>
          <w:szCs w:val="20"/>
        </w:rPr>
        <w:t>, se recomienda incorporar también la rentabilidad correspondiente al ejercicio 202X, de modo que el análisis incluya información tanto plurianual como anual desglosada, con una explicación técnica de la metodología de ponderación aplicada.</w:t>
      </w:r>
    </w:p>
    <w:p w14:paraId="13568F5D" w14:textId="1407218E"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14</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77CC41C9" w14:textId="77777777" w:rsidR="007074FF" w:rsidRDefault="007074FF"/>
    <w:p w14:paraId="66DB1554" w14:textId="1F543BD4" w:rsidR="00FD64F2" w:rsidRPr="009B44E7" w:rsidRDefault="009B44E7" w:rsidP="009B44E7">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lastRenderedPageBreak/>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15</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574C9FBD" w14:textId="77777777" w:rsidR="00FD64F2" w:rsidRPr="00FD64F2" w:rsidRDefault="00FD64F2" w:rsidP="00FD64F2">
      <w:pPr>
        <w:spacing w:before="120" w:after="120" w:line="240" w:lineRule="atLeast"/>
        <w:rPr>
          <w:rFonts w:ascii="Arial" w:hAnsi="Arial" w:cs="Arial"/>
          <w:b/>
          <w:bCs/>
          <w:color w:val="808080"/>
          <w:sz w:val="20"/>
          <w:szCs w:val="20"/>
        </w:rPr>
      </w:pPr>
      <w:r w:rsidRPr="00FD64F2">
        <w:rPr>
          <w:rFonts w:ascii="Arial" w:hAnsi="Arial" w:cs="Arial"/>
          <w:b/>
          <w:bCs/>
          <w:color w:val="808080"/>
          <w:sz w:val="20"/>
          <w:szCs w:val="20"/>
        </w:rPr>
        <w:t>Servicios intragrupo benefit test</w:t>
      </w:r>
    </w:p>
    <w:p w14:paraId="319906CE" w14:textId="77777777" w:rsidR="00FD64F2" w:rsidRPr="00FD64F2" w:rsidRDefault="00FD64F2" w:rsidP="00FD64F2">
      <w:pPr>
        <w:spacing w:before="120" w:after="120" w:line="240" w:lineRule="atLeast"/>
        <w:jc w:val="both"/>
        <w:rPr>
          <w:rFonts w:ascii="Arial" w:hAnsi="Arial" w:cs="Arial"/>
          <w:color w:val="808080"/>
          <w:sz w:val="20"/>
          <w:szCs w:val="20"/>
        </w:rPr>
      </w:pPr>
      <w:r w:rsidRPr="00FD64F2">
        <w:rPr>
          <w:rFonts w:ascii="Arial" w:hAnsi="Arial" w:cs="Arial"/>
          <w:color w:val="808080"/>
          <w:sz w:val="20"/>
          <w:szCs w:val="20"/>
        </w:rPr>
        <w:t>Tal y como recogen los párrafos 7.54 y siguientes de las Directrices OCDE 2022, en el análisis de los servicios intragrupo deben evaluarse dos aspectos fundamentales:</w:t>
      </w:r>
    </w:p>
    <w:p w14:paraId="56A6CAF3" w14:textId="77777777" w:rsidR="00FD64F2" w:rsidRPr="00FD64F2" w:rsidRDefault="00FD64F2" w:rsidP="00FD64F2">
      <w:pPr>
        <w:numPr>
          <w:ilvl w:val="0"/>
          <w:numId w:val="7"/>
        </w:numPr>
        <w:spacing w:before="120" w:after="120" w:line="240" w:lineRule="atLeast"/>
        <w:jc w:val="both"/>
        <w:rPr>
          <w:rFonts w:ascii="Arial" w:hAnsi="Arial" w:cs="Arial"/>
          <w:color w:val="808080"/>
          <w:sz w:val="20"/>
          <w:szCs w:val="20"/>
        </w:rPr>
      </w:pPr>
      <w:r w:rsidRPr="00FD64F2">
        <w:rPr>
          <w:rFonts w:ascii="Arial" w:hAnsi="Arial" w:cs="Arial"/>
          <w:color w:val="808080"/>
          <w:sz w:val="20"/>
          <w:szCs w:val="20"/>
        </w:rPr>
        <w:t>si el servicio ha sido efectivamente prestado y genera un beneficio económico o comercial para la entidad receptora (benefit test); y</w:t>
      </w:r>
    </w:p>
    <w:p w14:paraId="57C4BC5E" w14:textId="77777777" w:rsidR="00FD64F2" w:rsidRPr="00FD64F2" w:rsidRDefault="00FD64F2" w:rsidP="00FD64F2">
      <w:pPr>
        <w:numPr>
          <w:ilvl w:val="0"/>
          <w:numId w:val="7"/>
        </w:numPr>
        <w:spacing w:before="120" w:after="120" w:line="240" w:lineRule="atLeast"/>
        <w:jc w:val="both"/>
        <w:rPr>
          <w:rFonts w:ascii="Arial" w:hAnsi="Arial" w:cs="Arial"/>
          <w:color w:val="808080"/>
          <w:sz w:val="20"/>
          <w:szCs w:val="20"/>
        </w:rPr>
      </w:pPr>
      <w:r w:rsidRPr="00FD64F2">
        <w:rPr>
          <w:rFonts w:ascii="Arial" w:hAnsi="Arial" w:cs="Arial"/>
          <w:color w:val="808080"/>
          <w:sz w:val="20"/>
          <w:szCs w:val="20"/>
        </w:rPr>
        <w:t>si la remuneración aplicada se ajusta al principio de plena competencia (arm’s length principle).</w:t>
      </w:r>
    </w:p>
    <w:p w14:paraId="317B5829" w14:textId="77777777" w:rsidR="00FD64F2" w:rsidRPr="00FD64F2" w:rsidRDefault="00FD64F2" w:rsidP="00FD64F2">
      <w:pPr>
        <w:spacing w:before="120" w:after="120" w:line="240" w:lineRule="atLeast"/>
        <w:jc w:val="both"/>
        <w:rPr>
          <w:rFonts w:ascii="Arial" w:hAnsi="Arial" w:cs="Arial"/>
          <w:color w:val="808080"/>
          <w:sz w:val="20"/>
          <w:szCs w:val="20"/>
        </w:rPr>
      </w:pPr>
      <w:r w:rsidRPr="00FD64F2">
        <w:rPr>
          <w:rFonts w:ascii="Arial" w:hAnsi="Arial" w:cs="Arial"/>
          <w:color w:val="808080"/>
          <w:sz w:val="20"/>
          <w:szCs w:val="20"/>
        </w:rPr>
        <w:t>Para el primer aspecto, debe analizarse si los servicios contribuyen de forma demostrable a mantener o mejorar la posición competitiva de la entidad receptora. En este sentido, se recomienda que la Documentación de Precios de Transferencia incluya una referencia explícita a la verificación de la efectiva prestación del servicio, la existencia de un beneficio identificable para las entidades receptoras y la ausencia de duplicidades.</w:t>
      </w:r>
    </w:p>
    <w:p w14:paraId="63F1F9F4" w14:textId="77777777" w:rsidR="00FD64F2" w:rsidRPr="00FD64F2" w:rsidRDefault="00FD64F2" w:rsidP="00FD64F2">
      <w:pPr>
        <w:spacing w:before="120" w:after="120" w:line="240" w:lineRule="atLeast"/>
        <w:jc w:val="both"/>
        <w:rPr>
          <w:rFonts w:ascii="Arial" w:hAnsi="Arial" w:cs="Arial"/>
          <w:color w:val="808080"/>
          <w:sz w:val="20"/>
          <w:szCs w:val="20"/>
        </w:rPr>
      </w:pPr>
      <w:r w:rsidRPr="00FD64F2">
        <w:rPr>
          <w:rFonts w:ascii="Arial" w:hAnsi="Arial" w:cs="Arial"/>
          <w:color w:val="808080"/>
          <w:sz w:val="20"/>
          <w:szCs w:val="20"/>
        </w:rPr>
        <w:t>La Administración Tributaria española mantiene un enfoque estricto respecto de los servicios corporativos intragrupo, exigiendo que los contribuyentes acrediten su deducibilidad mediante un benefit test que demuestre, entre otros aspectos:</w:t>
      </w:r>
    </w:p>
    <w:p w14:paraId="550EF668" w14:textId="77777777" w:rsidR="00FD64F2" w:rsidRPr="00FD64F2" w:rsidRDefault="00FD64F2" w:rsidP="00FD64F2">
      <w:pPr>
        <w:numPr>
          <w:ilvl w:val="0"/>
          <w:numId w:val="7"/>
        </w:numPr>
        <w:spacing w:before="120" w:after="120" w:line="240" w:lineRule="atLeast"/>
        <w:jc w:val="both"/>
        <w:rPr>
          <w:rFonts w:ascii="Arial" w:hAnsi="Arial" w:cs="Arial"/>
          <w:color w:val="808080"/>
          <w:sz w:val="20"/>
          <w:szCs w:val="20"/>
        </w:rPr>
      </w:pPr>
      <w:r w:rsidRPr="00FD64F2">
        <w:rPr>
          <w:rFonts w:ascii="Arial" w:hAnsi="Arial" w:cs="Arial"/>
          <w:color w:val="808080"/>
          <w:sz w:val="20"/>
          <w:szCs w:val="20"/>
        </w:rPr>
        <w:t>La trazabilidad y soporte documental de los servicios prestados (organigramas, informes, desglose de costes, evidencias internas).</w:t>
      </w:r>
    </w:p>
    <w:p w14:paraId="3A0FDBC8" w14:textId="77777777" w:rsidR="00FD64F2" w:rsidRPr="00FD64F2" w:rsidRDefault="00FD64F2" w:rsidP="00FD64F2">
      <w:pPr>
        <w:numPr>
          <w:ilvl w:val="0"/>
          <w:numId w:val="7"/>
        </w:numPr>
        <w:spacing w:before="120" w:after="120" w:line="240" w:lineRule="atLeast"/>
        <w:jc w:val="both"/>
        <w:rPr>
          <w:rFonts w:ascii="Arial" w:hAnsi="Arial" w:cs="Arial"/>
          <w:color w:val="808080"/>
          <w:sz w:val="20"/>
          <w:szCs w:val="20"/>
        </w:rPr>
      </w:pPr>
      <w:r w:rsidRPr="00FD64F2">
        <w:rPr>
          <w:rFonts w:ascii="Arial" w:hAnsi="Arial" w:cs="Arial"/>
          <w:color w:val="808080"/>
          <w:sz w:val="20"/>
          <w:szCs w:val="20"/>
        </w:rPr>
        <w:t>Que el alcance de los servicios no se solapa con funciones propias del personal de la entidad receptora, evitando así duplicidades.</w:t>
      </w:r>
    </w:p>
    <w:p w14:paraId="0D6F65FF" w14:textId="77777777" w:rsidR="00FD64F2" w:rsidRPr="00FD64F2" w:rsidRDefault="00FD64F2" w:rsidP="00FD64F2">
      <w:pPr>
        <w:numPr>
          <w:ilvl w:val="0"/>
          <w:numId w:val="7"/>
        </w:numPr>
        <w:spacing w:before="120" w:after="120" w:line="240" w:lineRule="atLeast"/>
        <w:jc w:val="both"/>
        <w:rPr>
          <w:rFonts w:ascii="Arial" w:hAnsi="Arial" w:cs="Arial"/>
          <w:color w:val="808080"/>
          <w:sz w:val="20"/>
          <w:szCs w:val="20"/>
        </w:rPr>
      </w:pPr>
      <w:r w:rsidRPr="00FD64F2">
        <w:rPr>
          <w:rFonts w:ascii="Arial" w:hAnsi="Arial" w:cs="Arial"/>
          <w:color w:val="808080"/>
          <w:sz w:val="20"/>
          <w:szCs w:val="20"/>
        </w:rPr>
        <w:t>La existencia efectiva de los servicios y de los costes imputados.</w:t>
      </w:r>
    </w:p>
    <w:p w14:paraId="05A88F0E" w14:textId="77777777" w:rsidR="00FD64F2" w:rsidRDefault="00FD64F2" w:rsidP="00FD64F2">
      <w:pPr>
        <w:spacing w:before="120" w:after="120" w:line="240" w:lineRule="atLeast"/>
        <w:jc w:val="both"/>
        <w:rPr>
          <w:rFonts w:ascii="Arial" w:hAnsi="Arial" w:cs="Arial"/>
          <w:color w:val="808080"/>
          <w:sz w:val="20"/>
          <w:szCs w:val="20"/>
        </w:rPr>
      </w:pPr>
      <w:r w:rsidRPr="00FD64F2">
        <w:rPr>
          <w:rFonts w:ascii="Arial" w:hAnsi="Arial" w:cs="Arial"/>
          <w:color w:val="808080"/>
          <w:sz w:val="20"/>
          <w:szCs w:val="20"/>
        </w:rPr>
        <w:t xml:space="preserve">En consecuencia, se recomienda que la Documentación incluya un benefit test detallado, acompañado de la evidencia que acredite la trazabilidad y sustancia de los servicios, tanto en el caso de los servicios de bajo valor añadido (descritos en la documentación), como, en su caso, de los servicios de mayor valor añadido. Esta información permitirá reforzar la defensa del </w:t>
      </w:r>
      <w:r w:rsidRPr="00FD64F2">
        <w:rPr>
          <w:rFonts w:ascii="Arial" w:hAnsi="Arial" w:cs="Arial"/>
          <w:color w:val="808080"/>
          <w:sz w:val="20"/>
          <w:szCs w:val="20"/>
        </w:rPr>
        <w:t>principio de plena competencia y la deducibilidad fiscal de los gastos asociados.</w:t>
      </w:r>
    </w:p>
    <w:p w14:paraId="608F8B0C" w14:textId="6599F279"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15</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2093C961" w14:textId="0CE975BF" w:rsidR="00FD64F2" w:rsidRPr="009B44E7" w:rsidRDefault="009B44E7" w:rsidP="009B44E7">
      <w:pPr>
        <w:spacing w:before="120" w:after="120" w:line="240" w:lineRule="atLeast"/>
        <w:rPr>
          <w:rFonts w:ascii="Arial" w:hAnsi="Arial" w:cs="Arial"/>
          <w:b/>
          <w:bCs/>
          <w:color w:val="808080"/>
          <w:sz w:val="20"/>
          <w:szCs w:val="2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16</w:t>
      </w:r>
      <w:r w:rsidRPr="006B43DD">
        <w:rPr>
          <w:rFonts w:ascii="Arial" w:hAnsi="Arial" w:cs="Arial"/>
          <w:b/>
          <w:bCs/>
          <w:color w:val="808080"/>
          <w:sz w:val="20"/>
          <w:szCs w:val="20"/>
        </w:rPr>
        <w:t>_START</w:t>
      </w:r>
      <w:r>
        <w:rPr>
          <w:rFonts w:ascii="Microsoft YaHei" w:eastAsia="Microsoft YaHei" w:hAnsi="Microsoft YaHei" w:cs="Microsoft YaHei"/>
          <w:b/>
          <w:bCs/>
          <w:color w:val="808080"/>
          <w:sz w:val="20"/>
          <w:szCs w:val="20"/>
        </w:rPr>
        <w:t>}}</w:t>
      </w:r>
    </w:p>
    <w:p w14:paraId="7C9BA482" w14:textId="77777777" w:rsidR="0062269D" w:rsidRPr="006F5704" w:rsidRDefault="0062269D" w:rsidP="0062269D">
      <w:pPr>
        <w:spacing w:before="120" w:after="120" w:line="240" w:lineRule="atLeast"/>
        <w:jc w:val="both"/>
        <w:rPr>
          <w:rFonts w:ascii="Arial" w:hAnsi="Arial" w:cs="Arial"/>
          <w:b/>
          <w:bCs/>
          <w:color w:val="808080"/>
          <w:sz w:val="20"/>
          <w:szCs w:val="20"/>
        </w:rPr>
      </w:pPr>
      <w:r w:rsidRPr="006F5704">
        <w:rPr>
          <w:rFonts w:ascii="Arial" w:hAnsi="Arial" w:cs="Arial"/>
          <w:b/>
          <w:bCs/>
          <w:color w:val="808080"/>
          <w:sz w:val="20"/>
          <w:szCs w:val="20"/>
        </w:rPr>
        <w:t>Situación de pérdidas de la compañía</w:t>
      </w:r>
    </w:p>
    <w:p w14:paraId="7A031053" w14:textId="77777777" w:rsidR="0062269D" w:rsidRPr="006F5704" w:rsidRDefault="0062269D" w:rsidP="0062269D">
      <w:pPr>
        <w:spacing w:before="120" w:after="120" w:line="240" w:lineRule="atLeast"/>
        <w:jc w:val="both"/>
        <w:rPr>
          <w:rFonts w:ascii="Arial" w:hAnsi="Arial" w:cs="Arial"/>
          <w:color w:val="808080"/>
          <w:sz w:val="20"/>
          <w:szCs w:val="20"/>
        </w:rPr>
      </w:pPr>
      <w:r w:rsidRPr="006F5704">
        <w:rPr>
          <w:rFonts w:ascii="Arial" w:hAnsi="Arial" w:cs="Arial"/>
          <w:color w:val="808080"/>
          <w:sz w:val="20"/>
          <w:szCs w:val="20"/>
        </w:rPr>
        <w:t>Se ha verificado que la Compañía ha registrado pérdidas operativas en el ejercicio 20XX (EBIT: –XXX.XXX euros), con carácter recurrente, según la información financiera de ejercicios anteriores disponible en bases de datos públicas.</w:t>
      </w:r>
    </w:p>
    <w:p w14:paraId="62963F27" w14:textId="77777777" w:rsidR="0062269D" w:rsidRPr="006F5704" w:rsidRDefault="0062269D" w:rsidP="0062269D">
      <w:pPr>
        <w:spacing w:before="120" w:after="120" w:line="240" w:lineRule="atLeast"/>
        <w:jc w:val="both"/>
        <w:rPr>
          <w:rFonts w:ascii="Arial" w:hAnsi="Arial" w:cs="Arial"/>
          <w:color w:val="808080"/>
          <w:sz w:val="20"/>
          <w:szCs w:val="20"/>
        </w:rPr>
      </w:pPr>
      <w:r w:rsidRPr="006F5704">
        <w:rPr>
          <w:rFonts w:ascii="Arial" w:hAnsi="Arial" w:cs="Arial"/>
          <w:color w:val="808080"/>
          <w:sz w:val="20"/>
          <w:szCs w:val="20"/>
        </w:rPr>
        <w:t xml:space="preserve">Esta situación constituye un indicador de riesgo fiscal habitualmente monitorizado por la Agencia Estatal de Administración Tributaria (AEAT), al considerar que la persistencia de resultados negativos puede reflejar desviaciones respecto del principio de plena competencia. En particular, las Directrices OCDE 2022 (Capítulo I, Sección D  y Capítulo VI determinan que la existencia de pérdidas no invalida automáticamente la plena competencia de determinadas contraprestaciones (por ejemplo, royalties). No obstante, las pérdidas recurrentes constituyen un indicador de riesgo que exige justificar la continuidad de pagos mediante evidencia objetiva (expectativa razonable de beneficios futuros, carácter esencial del intangible, cláusulas contractuales que regulen ajustes, etc.). En aplicación del art. 17 del RIS, tales circunstancias económicas deben explicarse y documentarse en la </w:t>
      </w:r>
      <w:r w:rsidRPr="006F5704">
        <w:rPr>
          <w:rFonts w:ascii="Arial" w:hAnsi="Arial" w:cs="Arial"/>
          <w:i/>
          <w:iCs/>
          <w:color w:val="808080"/>
          <w:sz w:val="20"/>
          <w:szCs w:val="20"/>
        </w:rPr>
        <w:t>Local File</w:t>
      </w:r>
      <w:r w:rsidRPr="006F5704">
        <w:rPr>
          <w:rFonts w:ascii="Arial" w:hAnsi="Arial" w:cs="Arial"/>
          <w:color w:val="808080"/>
          <w:sz w:val="20"/>
          <w:szCs w:val="20"/>
        </w:rPr>
        <w:t>. Dado que las operaciones vinculadas representan una parte significativa de la actividad de la Compañía, en una eventual inspección las autoridades tributarias podrían analizar la rentabilidad global de la entidad como elemento indirecto para verificar la adecuación de los precios de transferencia aplicados.</w:t>
      </w:r>
    </w:p>
    <w:p w14:paraId="3901B6E0" w14:textId="77777777" w:rsidR="0062269D" w:rsidRPr="006F5704" w:rsidRDefault="0062269D" w:rsidP="0062269D">
      <w:pPr>
        <w:spacing w:before="120" w:after="120" w:line="240" w:lineRule="atLeast"/>
        <w:jc w:val="both"/>
        <w:rPr>
          <w:rFonts w:ascii="Arial" w:hAnsi="Arial" w:cs="Arial"/>
          <w:color w:val="808080"/>
          <w:sz w:val="20"/>
          <w:szCs w:val="20"/>
        </w:rPr>
      </w:pPr>
      <w:r w:rsidRPr="006F5704">
        <w:rPr>
          <w:rFonts w:ascii="Arial" w:hAnsi="Arial" w:cs="Arial"/>
          <w:color w:val="808080"/>
          <w:sz w:val="20"/>
          <w:szCs w:val="20"/>
        </w:rPr>
        <w:t>En consecuencia, se recomienda incluir en la documentación de precios de transferencia una explicación técnica y económica detallada que justifique las pérdidas registradas, identificando:</w:t>
      </w:r>
    </w:p>
    <w:p w14:paraId="11D184F2" w14:textId="77777777" w:rsidR="0062269D" w:rsidRPr="006F5704" w:rsidRDefault="0062269D" w:rsidP="0062269D">
      <w:pPr>
        <w:numPr>
          <w:ilvl w:val="0"/>
          <w:numId w:val="10"/>
        </w:numPr>
        <w:spacing w:before="120" w:after="120" w:line="240" w:lineRule="atLeast"/>
        <w:jc w:val="both"/>
        <w:rPr>
          <w:rFonts w:ascii="Arial" w:hAnsi="Arial" w:cs="Arial"/>
          <w:color w:val="808080"/>
          <w:sz w:val="20"/>
          <w:szCs w:val="20"/>
        </w:rPr>
      </w:pPr>
      <w:r w:rsidRPr="006F5704">
        <w:rPr>
          <w:rFonts w:ascii="Arial" w:hAnsi="Arial" w:cs="Arial"/>
          <w:color w:val="808080"/>
          <w:sz w:val="20"/>
          <w:szCs w:val="20"/>
        </w:rPr>
        <w:t>Los factores de mercado o coyunturales que las motivan;</w:t>
      </w:r>
    </w:p>
    <w:p w14:paraId="2DE5FC06" w14:textId="77777777" w:rsidR="0062269D" w:rsidRPr="006F5704" w:rsidRDefault="0062269D" w:rsidP="0062269D">
      <w:pPr>
        <w:numPr>
          <w:ilvl w:val="0"/>
          <w:numId w:val="10"/>
        </w:numPr>
        <w:spacing w:before="120" w:after="120" w:line="240" w:lineRule="atLeast"/>
        <w:jc w:val="both"/>
        <w:rPr>
          <w:rFonts w:ascii="Arial" w:hAnsi="Arial" w:cs="Arial"/>
          <w:color w:val="808080"/>
          <w:sz w:val="20"/>
          <w:szCs w:val="20"/>
        </w:rPr>
      </w:pPr>
      <w:r w:rsidRPr="006F5704">
        <w:rPr>
          <w:rFonts w:ascii="Arial" w:hAnsi="Arial" w:cs="Arial"/>
          <w:color w:val="808080"/>
          <w:sz w:val="20"/>
          <w:szCs w:val="20"/>
        </w:rPr>
        <w:lastRenderedPageBreak/>
        <w:t>La ausencia de vínculo entre dichas pérdidas y las condiciones aplicadas en las operaciones vinculadas; y</w:t>
      </w:r>
    </w:p>
    <w:p w14:paraId="6B02504A" w14:textId="77777777" w:rsidR="0062269D" w:rsidRPr="006F5704" w:rsidRDefault="0062269D" w:rsidP="0062269D">
      <w:pPr>
        <w:numPr>
          <w:ilvl w:val="0"/>
          <w:numId w:val="10"/>
        </w:numPr>
        <w:spacing w:before="120" w:after="120" w:line="240" w:lineRule="atLeast"/>
        <w:jc w:val="both"/>
        <w:rPr>
          <w:rFonts w:ascii="Arial" w:hAnsi="Arial" w:cs="Arial"/>
          <w:color w:val="808080"/>
          <w:sz w:val="20"/>
          <w:szCs w:val="20"/>
        </w:rPr>
      </w:pPr>
      <w:r w:rsidRPr="006F5704">
        <w:rPr>
          <w:rFonts w:ascii="Arial" w:hAnsi="Arial" w:cs="Arial"/>
          <w:color w:val="808080"/>
          <w:sz w:val="20"/>
          <w:szCs w:val="20"/>
        </w:rPr>
        <w:t>La razonabilidad económica de los resultados en comparación con competidores independientes.</w:t>
      </w:r>
    </w:p>
    <w:p w14:paraId="52CF061E" w14:textId="77777777" w:rsidR="0062269D" w:rsidRPr="006F5704" w:rsidRDefault="0062269D" w:rsidP="0062269D">
      <w:pPr>
        <w:spacing w:before="120" w:after="120" w:line="240" w:lineRule="atLeast"/>
        <w:jc w:val="both"/>
        <w:rPr>
          <w:rFonts w:ascii="Arial" w:hAnsi="Arial" w:cs="Arial"/>
          <w:color w:val="808080"/>
          <w:sz w:val="20"/>
          <w:szCs w:val="20"/>
        </w:rPr>
      </w:pPr>
      <w:r w:rsidRPr="006F5704">
        <w:rPr>
          <w:rFonts w:ascii="Arial" w:hAnsi="Arial" w:cs="Arial"/>
          <w:color w:val="808080"/>
          <w:sz w:val="20"/>
          <w:szCs w:val="20"/>
        </w:rPr>
        <w:t>Esta información permitirá demostrar la plena competencia de las transacciones intragrupo y reducir el riesgo de ajustes o actuaciones de comprobación por parte de la Administración Tributaria.</w:t>
      </w:r>
    </w:p>
    <w:p w14:paraId="7014F179" w14:textId="663B493F" w:rsidR="009F49C0" w:rsidRPr="009F49C0" w:rsidRDefault="009F49C0" w:rsidP="009F49C0">
      <w:pPr>
        <w:spacing w:line="240" w:lineRule="atLeast"/>
        <w:rPr>
          <w:rFonts w:ascii="Arial" w:hAnsi="Arial" w:cs="Arial"/>
          <w:b/>
          <w:bCs/>
          <w:color w:val="808080"/>
        </w:rPr>
      </w:pPr>
      <w:r>
        <w:rPr>
          <w:rFonts w:ascii="Microsoft YaHei" w:eastAsia="Microsoft YaHei" w:hAnsi="Microsoft YaHei" w:cs="Microsoft YaHei"/>
          <w:b/>
          <w:bCs/>
          <w:color w:val="808080"/>
          <w:sz w:val="20"/>
          <w:szCs w:val="20"/>
        </w:rPr>
        <w:t>{{</w:t>
      </w:r>
      <w:r w:rsidR="00340F95">
        <w:rPr>
          <w:rFonts w:ascii="Arial" w:hAnsi="Arial" w:cs="Arial"/>
          <w:b/>
          <w:bCs/>
          <w:color w:val="808080"/>
          <w:sz w:val="20"/>
          <w:szCs w:val="20"/>
        </w:rPr>
        <w:t>COMENTARIO_TEXTO</w:t>
      </w:r>
      <w:r w:rsidR="00DA1C47">
        <w:rPr>
          <w:rFonts w:ascii="Arial" w:hAnsi="Arial" w:cs="Arial"/>
          <w:b/>
          <w:bCs/>
          <w:color w:val="808080"/>
          <w:sz w:val="20"/>
          <w:szCs w:val="20"/>
        </w:rPr>
        <w:t>_</w:t>
      </w:r>
      <w:r>
        <w:rPr>
          <w:rFonts w:ascii="Arial" w:hAnsi="Arial" w:cs="Arial"/>
          <w:b/>
          <w:bCs/>
          <w:color w:val="808080"/>
          <w:sz w:val="20"/>
          <w:szCs w:val="20"/>
        </w:rPr>
        <w:t>16</w:t>
      </w:r>
      <w:r w:rsidRPr="006B43DD">
        <w:rPr>
          <w:rFonts w:ascii="Arial" w:hAnsi="Arial" w:cs="Arial"/>
          <w:b/>
          <w:bCs/>
          <w:color w:val="808080"/>
          <w:sz w:val="20"/>
          <w:szCs w:val="20"/>
        </w:rPr>
        <w:t>_</w:t>
      </w:r>
      <w:r w:rsidRPr="009F49C0">
        <w:rPr>
          <w:rFonts w:ascii="Arial" w:hAnsi="Arial" w:cs="Arial"/>
          <w:b/>
          <w:bCs/>
          <w:color w:val="808080"/>
          <w:sz w:val="20"/>
          <w:szCs w:val="20"/>
        </w:rPr>
        <w:t>END</w:t>
      </w:r>
      <w:r>
        <w:rPr>
          <w:rFonts w:ascii="Microsoft YaHei" w:eastAsia="Microsoft YaHei" w:hAnsi="Microsoft YaHei" w:cs="Microsoft YaHei"/>
          <w:b/>
          <w:bCs/>
          <w:color w:val="808080"/>
          <w:sz w:val="20"/>
          <w:szCs w:val="20"/>
        </w:rPr>
        <w:t>}}</w:t>
      </w:r>
    </w:p>
    <w:p w14:paraId="68D53B30" w14:textId="77777777" w:rsidR="00FD64F2" w:rsidRDefault="00FD64F2"/>
    <w:sectPr w:rsidR="00FD64F2" w:rsidSect="00C41631">
      <w:pgSz w:w="16838" w:h="11906" w:orient="landscape"/>
      <w:pgMar w:top="1701" w:right="1417" w:bottom="1701"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443A5" w14:textId="77777777" w:rsidR="001739DB" w:rsidRDefault="001739DB" w:rsidP="00BB1AF9">
      <w:pPr>
        <w:spacing w:after="0" w:line="240" w:lineRule="auto"/>
      </w:pPr>
      <w:r>
        <w:separator/>
      </w:r>
    </w:p>
  </w:endnote>
  <w:endnote w:type="continuationSeparator" w:id="0">
    <w:p w14:paraId="66634EDB" w14:textId="77777777" w:rsidR="001739DB" w:rsidRDefault="001739DB" w:rsidP="00BB1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CCB6F" w14:textId="77777777" w:rsidR="001739DB" w:rsidRDefault="001739DB" w:rsidP="00BB1AF9">
      <w:pPr>
        <w:spacing w:after="0" w:line="240" w:lineRule="auto"/>
      </w:pPr>
      <w:r>
        <w:separator/>
      </w:r>
    </w:p>
  </w:footnote>
  <w:footnote w:type="continuationSeparator" w:id="0">
    <w:p w14:paraId="76452A73" w14:textId="77777777" w:rsidR="001739DB" w:rsidRDefault="001739DB" w:rsidP="00BB1A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61505"/>
    <w:multiLevelType w:val="multilevel"/>
    <w:tmpl w:val="3C9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E03B0"/>
    <w:multiLevelType w:val="multilevel"/>
    <w:tmpl w:val="2E7C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CB115A"/>
    <w:multiLevelType w:val="multilevel"/>
    <w:tmpl w:val="944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8693E"/>
    <w:multiLevelType w:val="hybridMultilevel"/>
    <w:tmpl w:val="4BA099A4"/>
    <w:lvl w:ilvl="0" w:tplc="D3D6348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1524F37"/>
    <w:multiLevelType w:val="multilevel"/>
    <w:tmpl w:val="6A00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75A97"/>
    <w:multiLevelType w:val="multilevel"/>
    <w:tmpl w:val="21E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30273"/>
    <w:multiLevelType w:val="hybridMultilevel"/>
    <w:tmpl w:val="72968670"/>
    <w:lvl w:ilvl="0" w:tplc="75F0F4A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8CC38C5"/>
    <w:multiLevelType w:val="multilevel"/>
    <w:tmpl w:val="474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E71B9"/>
    <w:multiLevelType w:val="multilevel"/>
    <w:tmpl w:val="3EC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23E59"/>
    <w:multiLevelType w:val="multilevel"/>
    <w:tmpl w:val="2D0E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105874">
    <w:abstractNumId w:val="1"/>
  </w:num>
  <w:num w:numId="2" w16cid:durableId="858088172">
    <w:abstractNumId w:val="2"/>
  </w:num>
  <w:num w:numId="3" w16cid:durableId="1064764067">
    <w:abstractNumId w:val="4"/>
  </w:num>
  <w:num w:numId="4" w16cid:durableId="1231769402">
    <w:abstractNumId w:val="5"/>
  </w:num>
  <w:num w:numId="5" w16cid:durableId="1478716654">
    <w:abstractNumId w:val="9"/>
  </w:num>
  <w:num w:numId="6" w16cid:durableId="1432629879">
    <w:abstractNumId w:val="7"/>
  </w:num>
  <w:num w:numId="7" w16cid:durableId="1884828047">
    <w:abstractNumId w:val="0"/>
  </w:num>
  <w:num w:numId="8" w16cid:durableId="216362397">
    <w:abstractNumId w:val="3"/>
  </w:num>
  <w:num w:numId="9" w16cid:durableId="827287640">
    <w:abstractNumId w:val="6"/>
  </w:num>
  <w:num w:numId="10" w16cid:durableId="6772739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05E"/>
    <w:rsid w:val="0000651D"/>
    <w:rsid w:val="001739DB"/>
    <w:rsid w:val="001C3809"/>
    <w:rsid w:val="001D2B76"/>
    <w:rsid w:val="002950D4"/>
    <w:rsid w:val="002A74FA"/>
    <w:rsid w:val="002B767A"/>
    <w:rsid w:val="00340F95"/>
    <w:rsid w:val="0037013C"/>
    <w:rsid w:val="003841E3"/>
    <w:rsid w:val="004B27CB"/>
    <w:rsid w:val="00593D7A"/>
    <w:rsid w:val="005B0842"/>
    <w:rsid w:val="005B71C8"/>
    <w:rsid w:val="0062269D"/>
    <w:rsid w:val="0062668F"/>
    <w:rsid w:val="006B43DD"/>
    <w:rsid w:val="00700C66"/>
    <w:rsid w:val="007074FF"/>
    <w:rsid w:val="007751A7"/>
    <w:rsid w:val="00790D69"/>
    <w:rsid w:val="008D6190"/>
    <w:rsid w:val="0096665E"/>
    <w:rsid w:val="009B44E7"/>
    <w:rsid w:val="009F49C0"/>
    <w:rsid w:val="00A36A81"/>
    <w:rsid w:val="00A3705E"/>
    <w:rsid w:val="00B973D6"/>
    <w:rsid w:val="00BB1AF9"/>
    <w:rsid w:val="00BC04D8"/>
    <w:rsid w:val="00C41631"/>
    <w:rsid w:val="00D546C2"/>
    <w:rsid w:val="00DA1C47"/>
    <w:rsid w:val="00F721BB"/>
    <w:rsid w:val="00FD64F2"/>
    <w:rsid w:val="00FE7E6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83E3F"/>
  <w15:chartTrackingRefBased/>
  <w15:docId w15:val="{DC6ADCFC-9480-4962-B587-739BCEA7C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AF9"/>
    <w:rPr>
      <w:rFonts w:eastAsiaTheme="minorHAnsi"/>
      <w:lang w:eastAsia="en-US"/>
    </w:rPr>
  </w:style>
  <w:style w:type="paragraph" w:styleId="Ttulo1">
    <w:name w:val="heading 1"/>
    <w:basedOn w:val="Normal"/>
    <w:next w:val="Normal"/>
    <w:link w:val="Ttulo1Car"/>
    <w:uiPriority w:val="9"/>
    <w:qFormat/>
    <w:rsid w:val="00A37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7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70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70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70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70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70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70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70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70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70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70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70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70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70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70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70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705E"/>
    <w:rPr>
      <w:rFonts w:eastAsiaTheme="majorEastAsia" w:cstheme="majorBidi"/>
      <w:color w:val="272727" w:themeColor="text1" w:themeTint="D8"/>
    </w:rPr>
  </w:style>
  <w:style w:type="paragraph" w:styleId="Ttulo">
    <w:name w:val="Title"/>
    <w:basedOn w:val="Normal"/>
    <w:next w:val="Normal"/>
    <w:link w:val="TtuloCar"/>
    <w:uiPriority w:val="10"/>
    <w:qFormat/>
    <w:rsid w:val="00A37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70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70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70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705E"/>
    <w:pPr>
      <w:spacing w:before="160"/>
      <w:jc w:val="center"/>
    </w:pPr>
    <w:rPr>
      <w:i/>
      <w:iCs/>
      <w:color w:val="404040" w:themeColor="text1" w:themeTint="BF"/>
    </w:rPr>
  </w:style>
  <w:style w:type="character" w:customStyle="1" w:styleId="CitaCar">
    <w:name w:val="Cita Car"/>
    <w:basedOn w:val="Fuentedeprrafopredeter"/>
    <w:link w:val="Cita"/>
    <w:uiPriority w:val="29"/>
    <w:rsid w:val="00A3705E"/>
    <w:rPr>
      <w:i/>
      <w:iCs/>
      <w:color w:val="404040" w:themeColor="text1" w:themeTint="BF"/>
    </w:rPr>
  </w:style>
  <w:style w:type="paragraph" w:styleId="Prrafodelista">
    <w:name w:val="List Paragraph"/>
    <w:basedOn w:val="Normal"/>
    <w:uiPriority w:val="34"/>
    <w:qFormat/>
    <w:rsid w:val="00A3705E"/>
    <w:pPr>
      <w:ind w:left="720"/>
      <w:contextualSpacing/>
    </w:pPr>
  </w:style>
  <w:style w:type="character" w:styleId="nfasisintenso">
    <w:name w:val="Intense Emphasis"/>
    <w:basedOn w:val="Fuentedeprrafopredeter"/>
    <w:uiPriority w:val="21"/>
    <w:qFormat/>
    <w:rsid w:val="00A3705E"/>
    <w:rPr>
      <w:i/>
      <w:iCs/>
      <w:color w:val="0F4761" w:themeColor="accent1" w:themeShade="BF"/>
    </w:rPr>
  </w:style>
  <w:style w:type="paragraph" w:styleId="Citadestacada">
    <w:name w:val="Intense Quote"/>
    <w:basedOn w:val="Normal"/>
    <w:next w:val="Normal"/>
    <w:link w:val="CitadestacadaCar"/>
    <w:uiPriority w:val="30"/>
    <w:qFormat/>
    <w:rsid w:val="00A37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705E"/>
    <w:rPr>
      <w:i/>
      <w:iCs/>
      <w:color w:val="0F4761" w:themeColor="accent1" w:themeShade="BF"/>
    </w:rPr>
  </w:style>
  <w:style w:type="character" w:styleId="Referenciaintensa">
    <w:name w:val="Intense Reference"/>
    <w:basedOn w:val="Fuentedeprrafopredeter"/>
    <w:uiPriority w:val="32"/>
    <w:qFormat/>
    <w:rsid w:val="00A3705E"/>
    <w:rPr>
      <w:b/>
      <w:bCs/>
      <w:smallCaps/>
      <w:color w:val="0F4761" w:themeColor="accent1" w:themeShade="BF"/>
      <w:spacing w:val="5"/>
    </w:rPr>
  </w:style>
  <w:style w:type="paragraph" w:styleId="Encabezado">
    <w:name w:val="header"/>
    <w:basedOn w:val="Normal"/>
    <w:link w:val="EncabezadoCar"/>
    <w:uiPriority w:val="99"/>
    <w:unhideWhenUsed/>
    <w:rsid w:val="00BB1A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1AF9"/>
  </w:style>
  <w:style w:type="paragraph" w:styleId="Piedepgina">
    <w:name w:val="footer"/>
    <w:basedOn w:val="Normal"/>
    <w:link w:val="PiedepginaCar"/>
    <w:uiPriority w:val="99"/>
    <w:unhideWhenUsed/>
    <w:rsid w:val="00BB1A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1AF9"/>
  </w:style>
  <w:style w:type="paragraph" w:styleId="HTMLconformatoprevio">
    <w:name w:val="HTML Preformatted"/>
    <w:basedOn w:val="Normal"/>
    <w:link w:val="HTMLconformatoprevioCar"/>
    <w:uiPriority w:val="99"/>
    <w:semiHidden/>
    <w:unhideWhenUsed/>
    <w:rsid w:val="009F49C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F49C0"/>
    <w:rPr>
      <w:rFonts w:ascii="Consolas" w:eastAsiaTheme="minorHAnsi" w:hAnsi="Consola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4068</Words>
  <Characters>22379</Characters>
  <Application>Microsoft Office Word</Application>
  <DocSecurity>0</DocSecurity>
  <Lines>186</Lines>
  <Paragraphs>52</Paragraphs>
  <ScaleCrop>false</ScaleCrop>
  <Company/>
  <LinksUpToDate>false</LinksUpToDate>
  <CharactersWithSpaces>26395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Yu</dc:creator>
  <cp:keywords/>
  <dc:description/>
  <cp:lastModifiedBy>YiHao Yu</cp:lastModifiedBy>
  <cp:revision>30</cp:revision>
  <dcterms:created xsi:type="dcterms:W3CDTF">2026-01-09T08:04:00Z</dcterms:created>
  <dcterms:modified xsi:type="dcterms:W3CDTF">2026-01-09T09:09:00Z</dcterms:modified>
</cp:coreProperties>
</file>