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F4E79"/>
          <w:sz w:val="48"/>
          <w:szCs w:val="48"/>
        </w:rPr>
        <w:t xml:space="preserve">SDA评估应用程序</w:t>
      </w:r>
    </w:p>
    <w:p>
      <w:pPr>
        <w:jc w:val="center"/>
      </w:pPr>
      <w:r>
        <w:rPr>
          <w:color w:val="666666"/>
          <w:sz w:val="32"/>
          <w:szCs w:val="32"/>
        </w:rPr>
        <w:t xml:space="preserve">架构提案</w:t>
      </w:r>
    </w:p>
    <w:p>
      <w:pPr>
        <w:spacing w:after="480"/>
        <w:jc w:val="center"/>
      </w:pPr>
      <w:r>
        <w:rPr>
          <w:i/>
          <w:iCs/>
          <w:sz w:val="24"/>
          <w:szCs w:val="24"/>
        </w:rPr>
        <w:t xml:space="preserve">非审计服务独立性评估系统</w:t>
      </w:r>
    </w:p>
    <w:p>
      <w:pPr>
        <w:pStyle w:val="Heading1"/>
      </w:pPr>
      <w:r>
        <w:t xml:space="preserve">1. 执行摘要</w:t>
      </w:r>
    </w:p>
    <w:p>
      <w:pPr>
        <w:spacing w:after="200"/>
      </w:pPr>
      <w:r>
        <w:t xml:space="preserve">本文档为非审计服务（SDA - Servicios Distintos de Auditoría）评估流程的自动化提出了一个全面的Web应用程序架构。该系统将数字化并简化当前基于Excel的工作流程，确保符合西班牙审计法规（LAC）和欧盟法规（RUE）。</w:t>
      </w:r>
    </w:p>
    <w:p>
      <w:pPr>
        <w:pStyle w:val="Heading1"/>
      </w:pPr>
      <w:r>
        <w:t xml:space="preserve">2. 系统概述</w:t>
      </w:r>
    </w:p>
    <w:p>
      <w:pPr>
        <w:pStyle w:val="Heading2"/>
      </w:pPr>
      <w:r>
        <w:t xml:space="preserve">2.1 目的</w:t>
      </w:r>
    </w:p>
    <w:p>
      <w:pPr>
        <w:spacing w:after="200"/>
      </w:pPr>
      <w:r>
        <w:t xml:space="preserve">SDA评估应用程序自动化了向审计客户提供非审计服务的独立性评估流程，用智能规则驱动系统取代基于Excel的手动问卷调查。</w:t>
      </w:r>
    </w:p>
    <w:p>
      <w:pPr>
        <w:pStyle w:val="Heading2"/>
      </w:pPr>
      <w:r>
        <w:t xml:space="preserve">2.2 关键目标</w:t>
      </w:r>
    </w:p>
    <w:p>
      <w:pPr>
        <w:pStyle w:val="ListParagraph"/>
        <w:numPr>
          <w:ilvl w:val="0"/>
          <w:numId w:val="2"/>
        </w:numPr>
      </w:pPr>
      <w:r>
        <w:t xml:space="preserve">自动化法律门检验（禁止和不兼容性）</w:t>
      </w:r>
    </w:p>
    <w:p>
      <w:pPr>
        <w:pStyle w:val="ListParagraph"/>
        <w:numPr>
          <w:ilvl w:val="0"/>
          <w:numId w:val="2"/>
        </w:numPr>
      </w:pPr>
      <w:r>
        <w:t xml:space="preserve">识别并评估对审计师独立性的威胁</w:t>
      </w:r>
    </w:p>
    <w:p>
      <w:pPr>
        <w:pStyle w:val="ListParagraph"/>
        <w:numPr>
          <w:ilvl w:val="0"/>
          <w:numId w:val="2"/>
        </w:numPr>
      </w:pPr>
      <w:r>
        <w:t xml:space="preserve">根据服务类型推荐适当的保障措施</w:t>
      </w:r>
    </w:p>
    <w:p>
      <w:pPr>
        <w:pStyle w:val="ListParagraph"/>
        <w:numPr>
          <w:ilvl w:val="0"/>
          <w:numId w:val="2"/>
        </w:numPr>
      </w:pPr>
      <w:r>
        <w:t xml:space="preserve">生成符合现有问卷格式的合规文档</w:t>
      </w:r>
    </w:p>
    <w:p>
      <w:pPr>
        <w:pStyle w:val="ListParagraph"/>
        <w:numPr>
          <w:ilvl w:val="0"/>
          <w:numId w:val="2"/>
        </w:numPr>
      </w:pPr>
      <w:r>
        <w:t xml:space="preserve">维护审计跟踪和审批工作流程</w:t>
      </w:r>
    </w:p>
    <w:p>
      <w:pPr>
        <w:spacing w:after="200"/>
      </w:pPr>
    </w:p>
    <w:p>
      <w:pPr>
        <w:pStyle w:val="Heading1"/>
      </w:pPr>
      <w:r>
        <w:t xml:space="preserve">3. 架构概述</w:t>
      </w:r>
    </w:p>
    <w:p>
      <w:pPr>
        <w:pStyle w:val="Heading2"/>
      </w:pPr>
      <w:r>
        <w:t xml:space="preserve">3.1 技术栈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层级</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技术</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描述</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前端</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 Streamlit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动态表单生成、条件逻辑、实时验证</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后端</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 FastAPI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业务逻辑、规则引擎、文档生成</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数据库</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服务目录、规则、评估历史</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文档生成</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python-docx / openpyxl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Excel/Word输出匹配现有问卷格式</w:t>
            </w:r>
          </w:p>
        </w:tc>
      </w:tr>
    </w:tbl>
    <w:p>
      <w:pPr>
        <w:spacing w:after="200"/>
      </w:pPr>
    </w:p>
    <w:p>
      <w:pPr>
        <w:pStyle w:val="Heading2"/>
      </w:pPr>
      <w:r>
        <w:t xml:space="preserve">3.2 核心组件</w:t>
      </w:r>
    </w:p>
    <w:p>
      <w:pPr>
        <w:pStyle w:val="Heading3"/>
      </w:pPr>
      <w:r>
        <w:t xml:space="preserve">A. 服务目录模块</w:t>
      </w:r>
    </w:p>
    <w:p>
      <w:pPr>
        <w:pStyle w:val="ListParagraph"/>
        <w:numPr>
          <w:ilvl w:val="0"/>
          <w:numId w:val="2"/>
        </w:numPr>
      </w:pPr>
      <w:r>
        <w:t xml:space="preserve">存储所有128个Mazars服务代码及描述</w:t>
      </w:r>
    </w:p>
    <w:p>
      <w:pPr>
        <w:pStyle w:val="ListParagraph"/>
        <w:numPr>
          <w:ilvl w:val="0"/>
          <w:numId w:val="2"/>
        </w:numPr>
      </w:pPr>
      <w:r>
        <w:t xml:space="preserve">按服务类型分类（Auditores、Asesores、Financial Advisory等）</w:t>
      </w:r>
    </w:p>
    <w:p>
      <w:pPr>
        <w:pStyle w:val="ListParagraph"/>
        <w:numPr>
          <w:ilvl w:val="0"/>
          <w:numId w:val="2"/>
        </w:numPr>
      </w:pPr>
      <w:r>
        <w:t xml:space="preserve">将每项服务映射到实体类型权限（EIP与NO EIP）</w:t>
      </w:r>
    </w:p>
    <w:p>
      <w:pPr>
        <w:pStyle w:val="ListParagraph"/>
        <w:numPr>
          <w:ilvl w:val="0"/>
          <w:numId w:val="2"/>
        </w:numPr>
      </w:pPr>
      <w:r>
        <w:t xml:space="preserve">定义评估要求（1=问卷、2=有限、NO=禁止）</w:t>
      </w:r>
    </w:p>
    <w:p>
      <w:pPr>
        <w:pStyle w:val="Heading3"/>
      </w:pPr>
      <w:r>
        <w:t xml:space="preserve">B. 法律门引擎</w:t>
      </w:r>
    </w:p>
    <w:p>
      <w:pPr>
        <w:pStyle w:val="ListParagraph"/>
        <w:numPr>
          <w:ilvl w:val="0"/>
          <w:numId w:val="2"/>
        </w:numPr>
      </w:pPr>
      <w:r>
        <w:t xml:space="preserve">根据LAC第16条评估不兼容性</w:t>
      </w:r>
    </w:p>
    <w:p>
      <w:pPr>
        <w:pStyle w:val="ListParagraph"/>
        <w:numPr>
          <w:ilvl w:val="0"/>
          <w:numId w:val="2"/>
        </w:numPr>
      </w:pPr>
      <w:r>
        <w:t xml:space="preserve">根据LAC第39条和RUE第5条检查EIP禁止事项</w:t>
      </w:r>
    </w:p>
    <w:p>
      <w:pPr>
        <w:pStyle w:val="ListParagraph"/>
        <w:numPr>
          <w:ilvl w:val="0"/>
          <w:numId w:val="2"/>
        </w:numPr>
      </w:pPr>
      <w:r>
        <w:t xml:space="preserve">识别可能适用的立法保障措施</w:t>
      </w:r>
    </w:p>
    <w:p>
      <w:pPr>
        <w:pStyle w:val="ListParagraph"/>
        <w:numPr>
          <w:ilvl w:val="0"/>
          <w:numId w:val="2"/>
        </w:numPr>
      </w:pPr>
      <w:r>
        <w:t xml:space="preserve">确定服务是否涉及管理层参与</w:t>
      </w:r>
    </w:p>
    <w:p>
      <w:pPr>
        <w:pStyle w:val="Heading3"/>
      </w:pPr>
      <w:r>
        <w:t xml:space="preserve">C. 威胁评估模块</w:t>
      </w:r>
    </w:p>
    <w:p>
      <w:pPr>
        <w:pStyle w:val="ListParagraph"/>
        <w:numPr>
          <w:ilvl w:val="0"/>
          <w:numId w:val="2"/>
        </w:numPr>
      </w:pPr>
      <w:r>
        <w:t xml:space="preserve">将服务映射到适用的威胁类型（自我审查、辩护、自身利益、熟悉度、恐吓、管理层参与）</w:t>
      </w:r>
    </w:p>
    <w:p>
      <w:pPr>
        <w:pStyle w:val="ListParagraph"/>
        <w:numPr>
          <w:ilvl w:val="0"/>
          <w:numId w:val="2"/>
        </w:numPr>
      </w:pPr>
      <w:r>
        <w:t xml:space="preserve">根据上下文评估威胁的重要性</w:t>
      </w:r>
    </w:p>
    <w:p>
      <w:pPr>
        <w:pStyle w:val="ListParagraph"/>
        <w:numPr>
          <w:ilvl w:val="0"/>
          <w:numId w:val="2"/>
        </w:numPr>
      </w:pPr>
      <w:r>
        <w:t xml:space="preserve">从保障措施库中推荐适当的保障措施</w:t>
      </w:r>
    </w:p>
    <w:p>
      <w:pPr>
        <w:pStyle w:val="Heading3"/>
      </w:pPr>
      <w:r>
        <w:t xml:space="preserve">D. 问卷引擎</w:t>
      </w:r>
    </w:p>
    <w:p>
      <w:pPr>
        <w:pStyle w:val="ListParagraph"/>
        <w:numPr>
          <w:ilvl w:val="0"/>
          <w:numId w:val="2"/>
        </w:numPr>
      </w:pPr>
      <w:r>
        <w:t xml:space="preserve">基于4步评估流程的动态表单生成</w:t>
      </w:r>
    </w:p>
    <w:p>
      <w:pPr>
        <w:pStyle w:val="ListParagraph"/>
        <w:numPr>
          <w:ilvl w:val="0"/>
          <w:numId w:val="2"/>
        </w:numPr>
      </w:pPr>
      <w:r>
        <w:t xml:space="preserve">根据先前答案的条件问题流程</w:t>
      </w:r>
    </w:p>
    <w:p>
      <w:pPr>
        <w:pStyle w:val="ListParagraph"/>
        <w:numPr>
          <w:ilvl w:val="0"/>
          <w:numId w:val="2"/>
        </w:numPr>
      </w:pPr>
      <w:r>
        <w:t xml:space="preserve">确保完整文档的验证规则</w:t>
      </w:r>
    </w:p>
    <w:p>
      <w:pPr>
        <w:pStyle w:val="Heading3"/>
      </w:pPr>
      <w:r>
        <w:t xml:space="preserve">E. 文档生成器</w:t>
      </w:r>
    </w:p>
    <w:p>
      <w:pPr>
        <w:pStyle w:val="ListParagraph"/>
        <w:numPr>
          <w:ilvl w:val="0"/>
          <w:numId w:val="2"/>
        </w:numPr>
      </w:pPr>
      <w:r>
        <w:t xml:space="preserve">生成与CUESTIONARIO.xlsx格式匹配的Excel输出</w:t>
      </w:r>
    </w:p>
    <w:p>
      <w:pPr>
        <w:pStyle w:val="ListParagraph"/>
        <w:numPr>
          <w:ilvl w:val="0"/>
          <w:numId w:val="2"/>
        </w:numPr>
      </w:pPr>
      <w:r>
        <w:t xml:space="preserve">包含所有实体信息、服务详情和结论</w:t>
      </w:r>
    </w:p>
    <w:p>
      <w:pPr>
        <w:pStyle w:val="ListParagraph"/>
        <w:numPr>
          <w:ilvl w:val="0"/>
          <w:numId w:val="2"/>
        </w:numPr>
      </w:pPr>
      <w:r>
        <w:t xml:space="preserve">生成适合审计工作底稿的文档</w:t>
      </w:r>
    </w:p>
    <w:p>
      <w:pPr>
        <w:spacing w:after="200"/>
      </w:pPr>
    </w:p>
    <w:p>
      <w:r>
        <w:br w:type="page"/>
      </w:r>
    </w:p>
    <w:p>
      <w:pPr>
        <w:pStyle w:val="Heading1"/>
      </w:pPr>
      <w:r>
        <w:t xml:space="preserve">4. 评估工作流程</w:t>
      </w:r>
    </w:p>
    <w:p>
      <w:pPr>
        <w:pStyle w:val="Heading2"/>
      </w:pPr>
      <w:r>
        <w:t xml:space="preserve">4.1 流程步骤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步骤</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阶段</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描述</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实体设置</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输入被审计实体详情：名称、EIP状态、集团结构、负责审计师</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服务选择</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从目录中选择服务代码；系统根据实体类型检索权限</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法律门</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自动检查禁止和不兼容性；确定是绝对的还是需要保障措施的</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威胁分析</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识别适用威胁；评估重要性；根据需要选择保障措施</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结论</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系统根据分析生成结论（7种可能结果）</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文档</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生成包含所有回复、分析和附件清单的Excel问卷</w:t>
            </w:r>
          </w:p>
        </w:tc>
      </w:tr>
    </w:tbl>
    <w:p>
      <w:pPr>
        <w:spacing w:after="200"/>
      </w:pPr>
    </w:p>
    <w:p>
      <w:pPr>
        <w:pStyle w:val="Heading1"/>
      </w:pPr>
      <w:r>
        <w:t xml:space="preserve">5. 数据模型</w:t>
      </w:r>
    </w:p>
    <w:p>
      <w:pPr>
        <w:pStyle w:val="Heading2"/>
      </w:pPr>
      <w:r>
        <w:t xml:space="preserve">5.1 核心实体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实体</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关键属性</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services（服务）</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code（代码）、description（描述）、category（类别）、no_eip_permissions、eip_permissions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legal_rules（法律规则）</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rule_type（规则类型）、article_reference（条款引用）、entity_type（实体类型）、safeguards_available（可用保障措施）</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threats（威胁）</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threat_type（威胁类型）、description（描述）、service_categories（服务类别）、example_situations（示例情况）</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safeguards（保障措施）</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threat_id（威胁ID）、level（级别：公司/情况/实体）、description（描述）、implementation_notes（实施说明）</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evaluations（评估）</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entity_id、service_id、date（日期）、conclusion（结论）、responsible_auditor（负责审计师）、safeguards_applied（已应用保障措施）</w:t>
            </w:r>
          </w:p>
        </w:tc>
      </w:tr>
    </w:tbl>
    <w:p>
      <w:pPr>
        <w:spacing w:after="200"/>
      </w:pPr>
    </w:p>
    <w:p>
      <w:pPr>
        <w:pStyle w:val="Heading1"/>
      </w:pPr>
      <w:r>
        <w:t xml:space="preserve">6. 结论类型</w:t>
      </w:r>
    </w:p>
    <w:p>
      <w:pPr>
        <w:spacing w:after="120"/>
      </w:pPr>
      <w:r>
        <w:t xml:space="preserve">系统根据评估生成7种可能结论之一：</w:t>
      </w:r>
    </w:p>
    <w:p>
      <w:pPr>
        <w:pStyle w:val="ListParagraph"/>
        <w:numPr>
          <w:ilvl w:val="0"/>
          <w:numId w:val="2"/>
        </w:numPr>
      </w:pPr>
      <w:r>
        <w:t xml:space="preserve">绝对不兼容 - 服务被拒绝，无法继续审计</w:t>
      </w:r>
    </w:p>
    <w:p>
      <w:pPr>
        <w:pStyle w:val="ListParagraph"/>
        <w:numPr>
          <w:ilvl w:val="0"/>
          <w:numId w:val="2"/>
        </w:numPr>
      </w:pPr>
      <w:r>
        <w:t xml:space="preserve">检测到先前的不兼容性 - 需要放弃审计</w:t>
      </w:r>
    </w:p>
    <w:p>
      <w:pPr>
        <w:pStyle w:val="ListParagraph"/>
        <w:numPr>
          <w:ilvl w:val="0"/>
          <w:numId w:val="2"/>
        </w:numPr>
      </w:pPr>
      <w:r>
        <w:t xml:space="preserve">已应用立法保障措施 - 无独立性风险</w:t>
      </w:r>
    </w:p>
    <w:p>
      <w:pPr>
        <w:pStyle w:val="ListParagraph"/>
        <w:numPr>
          <w:ilvl w:val="0"/>
          <w:numId w:val="2"/>
        </w:numPr>
      </w:pPr>
      <w:r>
        <w:t xml:space="preserve">已应用第三国子公司保障措施 - 无独立性风险</w:t>
      </w:r>
    </w:p>
    <w:p>
      <w:pPr>
        <w:pStyle w:val="ListParagraph"/>
        <w:numPr>
          <w:ilvl w:val="0"/>
          <w:numId w:val="2"/>
        </w:numPr>
      </w:pPr>
      <w:r>
        <w:t xml:space="preserve">符合管理层参与规则 - 无独立性风险</w:t>
      </w:r>
    </w:p>
    <w:p>
      <w:pPr>
        <w:pStyle w:val="ListParagraph"/>
        <w:numPr>
          <w:ilvl w:val="0"/>
          <w:numId w:val="2"/>
        </w:numPr>
      </w:pPr>
      <w:r>
        <w:t xml:space="preserve">识别出重大威胁但无法缓解 - 独立性受损</w:t>
      </w:r>
    </w:p>
    <w:p>
      <w:pPr>
        <w:pStyle w:val="ListParagraph"/>
        <w:numPr>
          <w:ilvl w:val="0"/>
          <w:numId w:val="2"/>
        </w:numPr>
      </w:pPr>
      <w:r>
        <w:t xml:space="preserve">通过保障措施缓解重大威胁 - 无独立性风险</w:t>
      </w:r>
    </w:p>
    <w:p>
      <w:pPr>
        <w:pStyle w:val="ListParagraph"/>
        <w:numPr>
          <w:ilvl w:val="0"/>
          <w:numId w:val="2"/>
        </w:numPr>
      </w:pPr>
      <w:r>
        <w:t xml:space="preserve">未识别出重大威胁 - 不需要保障措施</w:t>
      </w:r>
    </w:p>
    <w:p>
      <w:pPr>
        <w:spacing w:after="200"/>
      </w:pPr>
    </w:p>
    <w:p>
      <w:pPr>
        <w:pStyle w:val="Heading1"/>
      </w:pPr>
      <w:r>
        <w:t xml:space="preserve">7. 安全与合规</w:t>
      </w:r>
    </w:p>
    <w:p>
      <w:pPr>
        <w:pStyle w:val="ListParagraph"/>
        <w:numPr>
          <w:ilvl w:val="0"/>
          <w:numId w:val="2"/>
        </w:numPr>
      </w:pPr>
      <w:r>
        <w:t xml:space="preserve">基于角色的访问控制（审计师、合伙人、风险经理、道德官员）</w:t>
      </w:r>
    </w:p>
    <w:p>
      <w:pPr>
        <w:pStyle w:val="ListParagraph"/>
        <w:numPr>
          <w:ilvl w:val="0"/>
          <w:numId w:val="2"/>
        </w:numPr>
      </w:pPr>
      <w:r>
        <w:t xml:space="preserve">所有评估和决策的完整审计跟踪</w:t>
      </w:r>
    </w:p>
    <w:p>
      <w:pPr>
        <w:pStyle w:val="ListParagraph"/>
        <w:numPr>
          <w:ilvl w:val="0"/>
          <w:numId w:val="2"/>
        </w:numPr>
      </w:pPr>
      <w:r>
        <w:t xml:space="preserve">文档版本控制和签名跟踪</w:t>
      </w:r>
    </w:p>
    <w:p>
      <w:pPr>
        <w:pStyle w:val="ListParagraph"/>
        <w:numPr>
          <w:ilvl w:val="0"/>
          <w:numId w:val="2"/>
        </w:numPr>
      </w:pPr>
      <w:r>
        <w:t xml:space="preserve">与WeCheck系统集成进行交叉验证</w:t>
      </w:r>
    </w:p>
    <w:p>
      <w:pPr>
        <w:pStyle w:val="ListParagraph"/>
        <w:numPr>
          <w:ilvl w:val="0"/>
          <w:numId w:val="2"/>
        </w:numPr>
      </w:pPr>
      <w:r>
        <w:t xml:space="preserve">符合GDPR和数据保留要求</w:t>
      </w:r>
    </w:p>
    <w:p>
      <w:pPr>
        <w:spacing w:after="200"/>
      </w:pPr>
    </w:p>
    <w:p>
      <w:pPr>
        <w:pStyle w:val="Heading1"/>
      </w:pPr>
      <w:r>
        <w:t xml:space="preserve">8. 实施路线图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阶段</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交付物</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持续时间</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阶段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数据提取与建模</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2周</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阶段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法律门引擎</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3周</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阶段 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威胁评估模块</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3周</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阶段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UI与问卷引擎</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4周</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阶段 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文档生成</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2周</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阶段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测试与部署</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2周</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Microsoft YaHei" w:cs="Microsoft YaHei" w:eastAsia="Microsoft YaHei" w:hAnsi="Microsoft YaHei"/>
      <w:b/>
      <w:bCs/>
      <w:color w:val="1F4E79"/>
      <w:sz w:val="36"/>
      <w:szCs w:val="36"/>
    </w:rPr>
  </w:style>
  <w:style w:type="paragraph" w:styleId="Heading2">
    <w:name w:val="Heading 2"/>
    <w:basedOn w:val="Normal"/>
    <w:next w:val="Normal"/>
    <w:qFormat/>
    <w:pPr>
      <w:spacing w:before="280" w:after="180"/>
      <w:outlineLvl w:val="1"/>
    </w:pPr>
    <w:rPr>
      <w:rFonts w:ascii="Microsoft YaHei" w:cs="Microsoft YaHei" w:eastAsia="Microsoft YaHei" w:hAnsi="Microsoft YaHei"/>
      <w:b/>
      <w:bCs/>
      <w:color w:val="2E75B6"/>
      <w:sz w:val="28"/>
      <w:szCs w:val="28"/>
    </w:rPr>
  </w:style>
  <w:style w:type="paragraph" w:styleId="Heading3">
    <w:name w:val="Heading 3"/>
    <w:basedOn w:val="Normal"/>
    <w:next w:val="Normal"/>
    <w:qFormat/>
    <w:pPr>
      <w:spacing w:before="240" w:after="120"/>
      <w:outlineLvl w:val="2"/>
    </w:pPr>
    <w:rPr>
      <w:rFonts w:ascii="Microsoft YaHei" w:cs="Microsoft YaHei" w:eastAsia="Microsoft YaHei" w:hAnsi="Microsoft YaHe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2026-02-02T09:19:15.330Z</dcterms:created>
  <dcterms:modified xsi:type="dcterms:W3CDTF">2026-02-02T09:19:15.331Z</dcterms:modified>
</cp:coreProperties>
</file>

<file path=docProps/custom.xml><?xml version="1.0" encoding="utf-8"?>
<Properties xmlns="http://schemas.openxmlformats.org/officeDocument/2006/custom-properties" xmlns:vt="http://schemas.openxmlformats.org/officeDocument/2006/docPropsVTypes"/>
</file>