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2FE5807E" w14:textId="77777777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lastRenderedPageBreak/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67A87C38" w14:textId="77777777" w:rsidR="00077EB4" w:rsidRDefault="00077EB4" w:rsidP="00077EB4">
      <w:pPr>
        <w:spacing w:after="0" w:line="276" w:lineRule="auto"/>
        <w:jc w:val="both"/>
      </w:pPr>
    </w:p>
    <w:p w14:paraId="00D7595E" w14:textId="06F9AB5B" w:rsidR="00077EB4" w:rsidRDefault="00077EB4" w:rsidP="00077EB4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077EB4">
        <w:rPr>
          <w:u w:val="double"/>
        </w:rPr>
        <w:t>Write a script</w:t>
      </w:r>
      <w:r>
        <w:t xml:space="preserve"> for book orders, live monitoring, represented in a graph (watch the utube guy u saw). Check if u can monitor continuously (fetch data from binance or/and tradeview or/and bybit and other to avoid BLOCKING or throttling). Check the 10 seconds chart or around this time to catch EARLY MOVES.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77EB4"/>
    <w:rsid w:val="00082719"/>
    <w:rsid w:val="000C0629"/>
    <w:rsid w:val="000D71AD"/>
    <w:rsid w:val="000E0F82"/>
    <w:rsid w:val="0012177D"/>
    <w:rsid w:val="0015498F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54009"/>
    <w:rsid w:val="003623D9"/>
    <w:rsid w:val="0036768E"/>
    <w:rsid w:val="0037318E"/>
    <w:rsid w:val="00391342"/>
    <w:rsid w:val="00391701"/>
    <w:rsid w:val="003D7EC1"/>
    <w:rsid w:val="003E7C08"/>
    <w:rsid w:val="00420DD3"/>
    <w:rsid w:val="00433572"/>
    <w:rsid w:val="00494C57"/>
    <w:rsid w:val="004D3DB8"/>
    <w:rsid w:val="004D4F66"/>
    <w:rsid w:val="00527025"/>
    <w:rsid w:val="00566AEF"/>
    <w:rsid w:val="005C715B"/>
    <w:rsid w:val="005E4761"/>
    <w:rsid w:val="005F55EC"/>
    <w:rsid w:val="0062389F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B433D3"/>
    <w:rsid w:val="00B560E2"/>
    <w:rsid w:val="00B82AE3"/>
    <w:rsid w:val="00BD2C65"/>
    <w:rsid w:val="00BD752D"/>
    <w:rsid w:val="00C238B1"/>
    <w:rsid w:val="00C472DB"/>
    <w:rsid w:val="00C65A63"/>
    <w:rsid w:val="00C934E7"/>
    <w:rsid w:val="00CC6900"/>
    <w:rsid w:val="00CC7873"/>
    <w:rsid w:val="00CE2F46"/>
    <w:rsid w:val="00CF3B38"/>
    <w:rsid w:val="00D11457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6BA1EF0D-AA57-4689-BBD3-B26975DE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 Ak</cp:lastModifiedBy>
  <cp:revision>1</cp:revision>
  <dcterms:created xsi:type="dcterms:W3CDTF">2025-01-12T12:31:00Z</dcterms:created>
  <dcterms:modified xsi:type="dcterms:W3CDTF">2025-01-29T09:19:00Z</dcterms:modified>
</cp:coreProperties>
</file>