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Public Fixture Heading</w:t>
      </w:r>
    </w:p>
    <w:p>
      <w:r>
        <w:t>Tax-neutral public fixture text.</w:t>
      </w:r>
    </w:p>
    <w:p>
      <w:r>
        <w:t>Second ordered paragraph.</w:t>
      </w:r>
    </w:p>
    <w:sectPr/>
  </w:body>
</w:document>
</file>