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Business Financial Reputation System — Discussion Brief</w:t>
      </w:r>
    </w:p>
    <w:p>
      <w:pPr>
        <w:spacing w:after="100"/>
      </w:pPr>
      <w:r>
        <w:rPr>
          <w:i/>
          <w:iCs/>
          <w:sz w:val="19"/>
          <w:szCs w:val="19"/>
        </w:rPr>
        <w:t xml:space="preserve">Malawi context | SME lending | Alternative credit scoring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A digital reputation layer that lets Malawian SMEs — most of whom are informal, cash-based, and absent from the formal credit bureau — build a portable, evidence-backed credibility record that lenders can trust. The system does not replace Credit Data CRB; it fills the gap for the majority of businesses that have no formal credit file.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2. Targeted Users (Borrowers)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Micro and small businesses (informal traders, market vendors, sole proprietors) with 3+ months of active trading, mobile-money and/or cash transaction history, and no or thin formal credit file.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Small enterprises (6-12+ months trading, may hold a business licence) seeking to progress from micro-loans toward formal MFI or bank facilities.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Women-led and rural businesses, a segment explicitly underserved by collateral-based lending.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3. Targeted Loan Providers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3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providers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credibility proof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Mobile-money / digital lenders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Airtel Money (Kutchova), TNM Mpamba (Kankhe)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Wallet transaction pattern scored by a third party; instant, uncollateralised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Microfinance institutions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FINCA Malawi, Vision Fund, Select Financial Services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liability, guarantor, business licence, internal repayment history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Commercial banks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Bank, Standard Bank, NBS Bank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statements, collateral, 12+ months account activity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Primary integration target for a first version: mobile-money lenders and MFIs, since both already rely on behavioural and social-trust data rather than audited financials.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4. Main Input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100"/>
      </w:tblGrid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evidences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money history (Airtel Money, TNM Mpamba)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Cash-flow regularity, transaction volume, wallet activity duration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Utility payment history (ESCOM, water)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Bill-payment discipline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 / peer references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 as reported by suppliers, customers, other vendors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activity record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trading, registration or licence status, location verification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credit history (Credit Data CRB, where available)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Existing loan conduct, defaults, active facilities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 lender repayment record (FINCA, other MFIs)</w:t>
            </w:r>
          </w:p>
        </w:tc>
        <w:tc>
          <w:tcPr>
            <w:tcW w:type="dxa" w:w="5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record on group or individual loans already taken</w:t>
            </w:r>
          </w:p>
        </w:tc>
      </w:tr>
    </w:tbl>
    <w:p>
      <w:pPr>
        <w:spacing w:after="100" w:before="240"/>
      </w:pPr>
      <w:r>
        <w:rPr>
          <w:b/>
          <w:bCs/>
          <w:sz w:val="24"/>
          <w:szCs w:val="24"/>
        </w:rPr>
        <w:t xml:space="preserve">5. Proposed Weighting Mechanism</w:t>
      </w:r>
    </w:p>
    <w:p>
      <w:pPr>
        <w:spacing w:after="100"/>
      </w:pPr>
      <w:r>
        <w:rPr>
          <w:sz w:val="21"/>
          <w:szCs w:val="21"/>
        </w:rPr>
        <w:t xml:space="preserve">Score = weighted sum of five factors, each normalised 0-100. Weights are adjustable per lender product; defaults below assume a thin-file borrower with no formal credit history.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 weight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Cash-flow stability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Variance of net mobile-money inflows, trailing 90 days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consistency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utility/loan obligations met within grace period, trailing 6 months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Trade reference score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Peer-vouching, weighted by voucher's own score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longevity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of continuous verified trading activity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credit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Bureau record if present; absence is neutral, not penalised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A missing data source reduces that factor's weight to zero and redistributes it proportionally, rather than lowering the score by default. This avoids penalising the credit-invisible majority for lack of data.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6. Investor / Lender Access &amp; Compliance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Access via a permissioned lender dashboard: each query against a business record is logged, timestamped and attributable, mirroring the audit expectations under the Credit Reference Bureau Act.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data source is pulled only after explicit borrower opt-in consent; consent scope and expiry are recorded per source, not blanket.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Borrowers can view their own score, see which factors are limiting it, and lodge a dispute or correction — a required data-subject right under Malawi's credit reporting framework.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system operates as a complement to, not a replacement for, Credit Data CRB: where a formal file exists it is pulled in; where it does not, that is flagged rather than treated as derogatory.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Reserve Bank of Malawi oversight applies to any lender acting on the score; the platform itself would need to determine its regulatory posture (data processor vs. credit bureau) before scaling beyond pilot/hackathon stage.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Investors/partners access aggregate portfolio-risk analytics only (no raw personal data) unless separately licensed as a lender-side user.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2026-07-21T13:34:29.107Z</dcterms:created>
  <dcterms:modified xsi:type="dcterms:W3CDTF">2026-07-21T13:34:29.128Z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