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263640" cy="835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_process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835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1"/>
          <w:pgSz w:w="12240" w:h="15840"/>
          <w:pgMar w:top="1152" w:right="1152" w:bottom="1080" w:left="1152" w:header="504" w:footer="504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52560" cy="5396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_process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539671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2"/>
      <w:pgSz w:w="15840" w:h="12240" w:orient="landscape"/>
      <w:pgMar w:top="720" w:right="648" w:bottom="720" w:left="64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PingFang SC"/>
        <w:b w:val="0"/>
        <w:color w:val="667085"/>
        <w:sz w:val="17"/>
      </w:rPr>
      <w:t>PL Process Flow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PingFang SC"/>
        <w:b w:val="0"/>
        <w:color w:val="667085"/>
        <w:sz w:val="17"/>
      </w:rPr>
      <w:t>PL Process Flow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 需求至一期产品开发流程图</dc:title>
  <dc:subject>根据附件整理的流程图与关键机制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