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260"/>
        <w:jc w:val="center"/>
      </w:pPr>
      <w:r>
        <w:rPr>
          <w:b/>
          <w:bCs/>
          <w:color w:val="0B2A4A"/>
          <w:sz w:val="38"/>
          <w:szCs w:val="38"/>
        </w:rPr>
        <w:t xml:space="preserve">华宁矿产竞拍平台系统操作手册</w:t>
      </w:r>
    </w:p>
    <w:p>
      <w:pPr>
        <w:spacing w:after="80" w:before="80" w:line="300"/>
        <w:jc w:val="center"/>
      </w:pPr>
      <w:r>
        <w:rPr>
          <w:color w:val="475569"/>
          <w:sz w:val="22"/>
          <w:szCs w:val="22"/>
        </w:rPr>
        <w:t xml:space="preserve">适用范围：管理员后台、企业用户中心、前台门户及完整竞拍业务流程。</w:t>
      </w:r>
    </w:p>
    <w:p>
      <w:pPr>
        <w:spacing w:after="80" w:before="80" w:line="300"/>
        <w:jc w:val="center"/>
      </w:pPr>
      <w:r>
        <w:rPr>
          <w:color w:val="64748B"/>
          <w:sz w:val="20"/>
          <w:szCs w:val="20"/>
        </w:rPr>
        <w:t xml:space="preserve">版本：发布前验收版。依据 docs/api-contract.md、docs/frontend-backend-integration-checklist.md、docs/qa/main-flow-acceptance.md 与 T48 验收记录整理。</w:t>
      </w:r>
    </w:p>
    <w:p>
      <w:pPr>
        <w:pStyle w:val="Heading1"/>
        <w:spacing w:after="180" w:before="360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Style w:val="Heading1"/>
        <w:spacing w:after="180" w:before="360"/>
      </w:pPr>
      <w:r>
        <w:t xml:space="preserve">一、系统概览</w:t>
      </w:r>
    </w:p>
    <w:p>
      <w:pPr>
        <w:spacing w:after="80" w:before="80" w:line="300"/>
      </w:pPr>
      <w:r>
        <w:rPr>
          <w:color w:val="1F2937"/>
          <w:sz w:val="22"/>
          <w:szCs w:val="22"/>
        </w:rPr>
        <w:t xml:space="preserve">华宁矿产竞拍平台面向矿产资源拍品发布、企业入驻认证、意向金凭证审核、线上竞价、成交公示、线下签约与尾款确认等业务流程。当前技术栈为 NestJS + TypeScript + Prisma + PostgreSQL，前端为 React + TypeScript + Vite。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正式认证入口为 Authorization: Bearer &lt;accessToken&gt;，accessToken 由 POST /api/auth/login 返回。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推荐本地后端入口：http://127.0.0.1:3101；推荐本地前端入口：http://127.0.0.1:5173。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PostgreSQL 连接：127.0.0.1:55432，database huaning_mineral_auction，user/password postgres/postgres。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开发头 fallback 默认关闭，仅在后端 DEV_AUTH_HEADERS_ENABLED=true 且前端 VITE_DEV_AUTH_HEADERS_ENABLED=true 时可用于历史联调。</w:t>
      </w:r>
    </w:p>
    <w:p>
      <w:pPr>
        <w:pStyle w:val="Heading1"/>
        <w:spacing w:after="180" w:before="360"/>
      </w:pPr>
      <w:r>
        <w:t xml:space="preserve">二、启动与登录</w:t>
      </w:r>
    </w:p>
    <w:p>
      <w:pPr>
        <w:pStyle w:val="Heading2"/>
        <w:spacing w:after="120" w:before="240"/>
      </w:pPr>
      <w:r>
        <w:t xml:space="preserve">2.1 启动后端</w:t>
      </w:r>
    </w:p>
    <w:p>
      <w:pPr>
        <w:pBdr>
          <w:left w:val="single" w:color="1F5AA6" w:sz="8"/>
        </w:pBdr>
        <w:shd w:fill="F3F6FA" w:val="clear"/>
        <w:spacing w:after="60" w:before="60"/>
        <w:ind w:left="18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Set-Location E:/kuangchan/backend
npm run start</w:t>
      </w:r>
    </w:p>
    <w:p>
      <w:pPr>
        <w:spacing w:after="80" w:before="80" w:line="300"/>
      </w:pPr>
      <w:r>
        <w:rPr>
          <w:color w:val="1F2937"/>
          <w:sz w:val="22"/>
          <w:szCs w:val="22"/>
        </w:rPr>
        <w:t xml:space="preserve">如需显式固定端口，启动前设置 PORT=3101。注意：本地 backend/.env 曾记录旧 PORT=3000，裸启动前应确认当前端口。</w:t>
      </w:r>
    </w:p>
    <w:p>
      <w:pPr>
        <w:pStyle w:val="Heading2"/>
        <w:spacing w:after="120" w:before="240"/>
      </w:pPr>
      <w:r>
        <w:t xml:space="preserve">2.2 启动前端</w:t>
      </w:r>
    </w:p>
    <w:p>
      <w:pPr>
        <w:pBdr>
          <w:left w:val="single" w:color="1F5AA6" w:sz="8"/>
        </w:pBdr>
        <w:shd w:fill="F3F6FA" w:val="clear"/>
        <w:spacing w:after="60" w:before="60"/>
        <w:ind w:left="180"/>
      </w:pPr>
      <w:r>
        <w:rPr>
          <w:rFonts w:ascii="Consolas" w:cs="Consolas" w:eastAsia="Consolas" w:hAnsi="Consolas"/>
          <w:color w:val="0F172A"/>
          <w:sz w:val="20"/>
          <w:szCs w:val="20"/>
        </w:rPr>
        <w:t xml:space="preserve">Set-Location E:/kuangchan/frontend
npm run dev</w:t>
      </w:r>
    </w:p>
    <w:p>
      <w:pPr>
        <w:spacing w:after="80" w:before="80" w:line="300"/>
      </w:pPr>
      <w:r>
        <w:rPr>
          <w:color w:val="1F2937"/>
          <w:sz w:val="22"/>
          <w:szCs w:val="22"/>
        </w:rPr>
        <w:t xml:space="preserve">前端 Vite dev server 通过同源 /api 代理到 http://127.0.0.1:3101，并保留 /api 前缀。</w:t>
      </w:r>
    </w:p>
    <w:p>
      <w:pPr>
        <w:pStyle w:val="Heading2"/>
        <w:spacing w:after="120" w:before="240"/>
      </w:pPr>
      <w:r>
        <w:t xml:space="preserve">2.3 登录账号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600"/>
        <w:gridCol w:w="2000"/>
        <w:gridCol w:w="2160"/>
      </w:tblGrid>
      <w:tr>
        <w:trPr>
          <w:tblHeader/>
        </w:trPr>
        <w:tc>
          <w:tcPr>
            <w:tcW w:type="dxa" w:w="1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角色</w:t>
            </w:r>
          </w:p>
        </w:tc>
        <w:tc>
          <w:tcPr>
            <w:tcW w:type="dxa" w:w="3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入口</w:t>
            </w:r>
          </w:p>
        </w:tc>
        <w:tc>
          <w:tcPr>
            <w:tcW w:type="dxa" w:w="2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账号</w:t>
            </w:r>
          </w:p>
        </w:tc>
        <w:tc>
          <w:tcPr>
            <w:tcW w:type="dxa" w:w="21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密码</w:t>
            </w:r>
          </w:p>
        </w:tc>
      </w:tr>
      <w:tr>
        <w:tc>
          <w:tcPr>
            <w:tcW w:type="dxa" w:w="1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</w:t>
            </w:r>
          </w:p>
        </w:tc>
        <w:tc>
          <w:tcPr>
            <w:tcW w:type="dxa" w:w="3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http://127.0.0.1:5173/admin/login</w:t>
            </w:r>
          </w:p>
        </w:tc>
        <w:tc>
          <w:tcPr>
            <w:tcW w:type="dxa" w:w="2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admin</w:t>
            </w:r>
          </w:p>
        </w:tc>
        <w:tc>
          <w:tcPr>
            <w:tcW w:type="dxa" w:w="21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admin123456</w:t>
            </w:r>
          </w:p>
        </w:tc>
      </w:tr>
      <w:tr>
        <w:tc>
          <w:tcPr>
            <w:tcW w:type="dxa" w:w="1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企业用户</w:t>
            </w:r>
          </w:p>
        </w:tc>
        <w:tc>
          <w:tcPr>
            <w:tcW w:type="dxa" w:w="36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http://127.0.0.1:5173/login</w:t>
            </w:r>
          </w:p>
        </w:tc>
        <w:tc>
          <w:tcPr>
            <w:tcW w:type="dxa" w:w="2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enterprise_demo</w:t>
            </w:r>
          </w:p>
        </w:tc>
        <w:tc>
          <w:tcPr>
            <w:tcW w:type="dxa" w:w="21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enterprise123456</w:t>
            </w:r>
          </w:p>
        </w:tc>
      </w:tr>
    </w:tbl>
    <w:p>
      <w:pPr>
        <w:pStyle w:val="Heading1"/>
        <w:spacing w:after="180" w:before="360"/>
      </w:pPr>
      <w:r>
        <w:t xml:space="preserve">三、管理员后台操作</w:t>
      </w:r>
    </w:p>
    <w:p>
      <w:pPr>
        <w:pStyle w:val="Heading2"/>
        <w:spacing w:after="120" w:before="240"/>
      </w:pPr>
      <w:r>
        <w:t xml:space="preserve">3.1 拍品发布与管理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进入后台登录页，使用管理员账号登录。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进入“拍品管理”，查看拍品列表。列表优先读取 GET /api/admin/lots。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点击“新建拍品”，填写图一、图二、标题、起拍价、数量、供应商、产地、截止日期、发货方式、商品信息、检测报告、电子邮箱、竞价时间和规则等字段。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上传拍品图片或检测报告时，前端调用 POST /api/files/upload，成功后回填 fileUrl。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保存草稿后可提交复核，提交复核调用 POST /api/admin/lots/{id}/submit-review。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公示期满足条件后，可在拍品列表调用“进入竞拍”，对应 POST /api/admin/lots/{id}/advance-to-bidding。</w:t>
      </w:r>
    </w:p>
    <w:p>
      <w:pPr>
        <w:pStyle w:val="Heading2"/>
        <w:spacing w:after="120" w:before="240"/>
      </w:pPr>
      <w:r>
        <w:t xml:space="preserve">3.2 审核管理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300"/>
        <w:gridCol w:w="2500"/>
        <w:gridCol w:w="2660"/>
      </w:tblGrid>
      <w:tr>
        <w:trPr>
          <w:tblHeader/>
        </w:trP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审核类型</w:t>
            </w:r>
          </w:p>
        </w:tc>
        <w:tc>
          <w:tcPr>
            <w:tcW w:type="dxa" w:w="2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页面</w:t>
            </w:r>
          </w:p>
        </w:tc>
        <w:tc>
          <w:tcPr>
            <w:tcW w:type="dxa" w:w="2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主要操作</w:t>
            </w:r>
          </w:p>
        </w:tc>
        <w:tc>
          <w:tcPr>
            <w:tcW w:type="dxa" w:w="26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接口</w:t>
            </w:r>
          </w:p>
        </w:tc>
      </w:tr>
      <w:t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拍品发布审核</w:t>
            </w:r>
          </w:p>
        </w:tc>
        <w:tc>
          <w:tcPr>
            <w:tcW w:type="dxa" w:w="2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/admin/reviews/lots</w:t>
            </w:r>
          </w:p>
        </w:tc>
        <w:tc>
          <w:tcPr>
            <w:tcW w:type="dxa" w:w="2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通过或驳回拍品发布申请</w:t>
            </w:r>
          </w:p>
        </w:tc>
        <w:tc>
          <w:tcPr>
            <w:tcW w:type="dxa" w:w="26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GET /api/admin/reviews/lots；POST /approve；POST /reject</w:t>
            </w:r>
          </w:p>
        </w:tc>
      </w:tr>
      <w:t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企业认证审核</w:t>
            </w:r>
          </w:p>
        </w:tc>
        <w:tc>
          <w:tcPr>
            <w:tcW w:type="dxa" w:w="2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/admin/reviews/enterprises</w:t>
            </w:r>
          </w:p>
        </w:tc>
        <w:tc>
          <w:tcPr>
            <w:tcW w:type="dxa" w:w="2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审核企业入驻与认证材料</w:t>
            </w:r>
          </w:p>
        </w:tc>
        <w:tc>
          <w:tcPr>
            <w:tcW w:type="dxa" w:w="26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GET /api/admin/reviews/enterprises；POST /approve；POST /reject</w:t>
            </w:r>
          </w:p>
        </w:tc>
      </w:tr>
      <w:tr>
        <w:tc>
          <w:tcPr>
            <w:tcW w:type="dxa" w:w="19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意向金凭证审核</w:t>
            </w:r>
          </w:p>
        </w:tc>
        <w:tc>
          <w:tcPr>
            <w:tcW w:type="dxa" w:w="23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/admin/reviews/deposits</w:t>
            </w:r>
          </w:p>
        </w:tc>
        <w:tc>
          <w:tcPr>
            <w:tcW w:type="dxa" w:w="25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审核企业付款凭证并授予竞价资格</w:t>
            </w:r>
          </w:p>
        </w:tc>
        <w:tc>
          <w:tcPr>
            <w:tcW w:type="dxa" w:w="26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GET /api/admin/reviews/deposits；POST /approve；POST /reject</w:t>
            </w:r>
          </w:p>
        </w:tc>
      </w:tr>
    </w:tbl>
    <w:p>
      <w:pPr>
        <w:spacing w:after="80" w:before="80" w:line="300"/>
      </w:pPr>
      <w:r>
        <w:rPr>
          <w:color w:val="1F2937"/>
          <w:sz w:val="22"/>
          <w:szCs w:val="22"/>
        </w:rPr>
        <w:t xml:space="preserve">当前审核以单条操作为主。后续建议新增批量选择审核能力：支持勾选多条待审核记录、批量通过、批量驳回并输入统一原因，同时保留逐条失败提示和结果刷新。</w:t>
      </w:r>
    </w:p>
    <w:p>
      <w:pPr>
        <w:pStyle w:val="Heading2"/>
        <w:spacing w:after="120" w:before="240"/>
      </w:pPr>
      <w:r>
        <w:t xml:space="preserve">3.3 交易、成交与合同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进入“交易管理 / 竞价记录”，查看企业报价记录。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竞拍结束后，管理员可调用 POST /api/admin/auction-closing/run 触发结束处理；也可由运维定时触发。当前前端暂无结拍按钮，属于非阻塞缺口。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进入“成交结果”，发布成交公示，调用 POST /api/admin/results/{id}/publish。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进入“合同状态”，根据线下签约情况标记已签约、已完成或违约。系统不处理线上资金，仅记录管理员已核验线下尾款支付凭证。</w:t>
      </w:r>
    </w:p>
    <w:p>
      <w:pPr>
        <w:pStyle w:val="Heading2"/>
        <w:spacing w:after="120" w:before="240"/>
      </w:pPr>
      <w:r>
        <w:t xml:space="preserve">3.4 文件、日志与内容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文件管理页读取 GET /api/admin/files。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操作日志页读取 GET /api/admin/logs，关键操作通过 operation_logs 持久化记录。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内容运营支持资讯与公开说明的创建、编辑、发布和下架。</w:t>
      </w:r>
    </w:p>
    <w:p>
      <w:pPr>
        <w:pStyle w:val="Heading1"/>
        <w:spacing w:after="180" w:before="360"/>
      </w:pPr>
      <w:r>
        <w:t xml:space="preserve">四、企业用户操作</w:t>
      </w:r>
    </w:p>
    <w:p>
      <w:pPr>
        <w:pStyle w:val="Heading2"/>
        <w:spacing w:after="120" w:before="240"/>
      </w:pPr>
      <w:r>
        <w:t xml:space="preserve">4.1 企业登录与认证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访问 http://127.0.0.1:5173/login，输入企业账号、密码和验证码登录。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进入“企业中心 / 我的企业认证”，查看认证状态、审核时间、驳回原因或重新提交入口。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如尚未入驻，可访问 /enterprise/register 提交企业入驻信息。</w:t>
      </w:r>
    </w:p>
    <w:p>
      <w:pPr>
        <w:pStyle w:val="Heading2"/>
        <w:spacing w:after="120" w:before="240"/>
      </w:pPr>
      <w:r>
        <w:t xml:space="preserve">4.2 意向金与竞价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在前台“即将拍卖公告详情”查看目标拍品，按页面要求上传意向金付款凭证。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管理员审核通过后，企业获得对应拍品竞价资格。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进入“正在竞价”或竞价详情页，选择加价次数并提交报价。前端按当前最高价或起拍价 + 次数 × 加价幅度计算 amount，后端继续校验报价合法性。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在“我的出价记录”查看本企业出价记录。</w:t>
      </w:r>
    </w:p>
    <w:p>
      <w:pPr>
        <w:pStyle w:val="Heading2"/>
        <w:spacing w:after="120" w:before="240"/>
      </w:pPr>
      <w:r>
        <w:t xml:space="preserve">4.3 中标后办理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中标后进入“我的通知”查看中标消息。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进入 /account/winning-detail 查看线下签约、尾款付款说明和办理进度。</w:t>
      </w:r>
    </w:p>
    <w:p>
      <w:pPr>
        <w:pStyle w:val="ListParagraph"/>
        <w:numPr>
          <w:ilvl w:val="0"/>
          <w:numId w:val="3"/>
        </w:numPr>
        <w:spacing w:after="50" w:before="50" w:line="280"/>
      </w:pPr>
      <w:r>
        <w:rPr>
          <w:sz w:val="21"/>
          <w:szCs w:val="21"/>
        </w:rPr>
        <w:t xml:space="preserve">管理员标记合同已签约、已完成后，企业页面同步展示对应状态。</w:t>
      </w:r>
    </w:p>
    <w:p>
      <w:pPr>
        <w:pStyle w:val="Heading1"/>
        <w:spacing w:after="180" w:before="360"/>
      </w:pPr>
      <w:r>
        <w:t xml:space="preserve">五、完整业务流程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50"/>
        <w:gridCol w:w="1650"/>
        <w:gridCol w:w="3650"/>
        <w:gridCol w:w="2710"/>
      </w:tblGrid>
      <w:tr>
        <w:trPr>
          <w:tblHeader/>
        </w:trP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阶段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责任角色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关键动作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结果</w:t>
            </w:r>
          </w:p>
        </w:tc>
      </w:tr>
      <w:t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拍品创建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新建拍品、上传图片和检测报告、保存草稿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形成草稿拍品</w:t>
            </w:r>
          </w:p>
        </w:tc>
      </w:tr>
      <w:t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发布复核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提交复核并审核通过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拍品进入公示</w:t>
            </w:r>
          </w:p>
        </w:tc>
      </w:tr>
      <w:t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企业准备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企业用户/管理员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企业认证、上传意向金凭证、管理员审核凭证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企业获得竞价资格</w:t>
            </w:r>
          </w:p>
        </w:tc>
      </w:tr>
      <w:t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竞价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管理员/企业用户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管理员推进竞拍中，企业按加价次数报价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生成最高价和出价记录</w:t>
            </w:r>
          </w:p>
        </w:tc>
      </w:tr>
      <w:t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结拍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管理员/运维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调用结拍入口或等待运维定时任务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生成成交结果和通知</w:t>
            </w:r>
          </w:p>
        </w:tc>
      </w:tr>
      <w:t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成交公示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发布成交结果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前台成交公示可见</w:t>
            </w:r>
          </w:p>
        </w:tc>
      </w:tr>
      <w:tr>
        <w:tc>
          <w:tcPr>
            <w:tcW w:type="dxa" w:w="13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线下履约</w:t>
            </w:r>
          </w:p>
        </w:tc>
        <w:tc>
          <w:tcPr>
            <w:tcW w:type="dxa" w:w="1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管理员/企业用户</w:t>
            </w:r>
          </w:p>
        </w:tc>
        <w:tc>
          <w:tcPr>
            <w:tcW w:type="dxa" w:w="365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线下签约、尾款核验、完成确认</w:t>
            </w:r>
          </w:p>
        </w:tc>
        <w:tc>
          <w:tcPr>
            <w:tcW w:type="dxa" w:w="271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合同与拍品状态完成</w:t>
            </w:r>
          </w:p>
        </w:tc>
      </w:tr>
    </w:tbl>
    <w:p>
      <w:pPr>
        <w:pStyle w:val="Heading1"/>
        <w:spacing w:after="180" w:before="360"/>
      </w:pPr>
      <w:r>
        <w:t xml:space="preserve">六、真实数据与 mock/fallback 说明</w:t>
      </w:r>
    </w:p>
    <w:p>
      <w:pPr>
        <w:spacing w:after="80" w:before="80" w:line="300"/>
      </w:pPr>
      <w:r>
        <w:rPr>
          <w:color w:val="1F2937"/>
          <w:sz w:val="22"/>
          <w:szCs w:val="22"/>
        </w:rPr>
        <w:t xml:space="preserve">当前主流程已经接入真实 API，并在 T48 最终人工验收中完成固定入口 3101/5173 的全流程验证。T48 记录显示 console error=0、failedRequests=0，成交公示为已公示、合同为已完成、拍品为已完成、看板 totals 为 3 / 330。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正式验收应使用 Bearer JWT，不设置开发头 fallback。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前端仍保留部分开发期 mock/fallback，以避免开发环境白屏；验收模式 VITE_ACCEPTANCE_MODE=true 下真实 API 失败会显性暴露，不应把 mock 页面正常展示当作通过。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如果要完全取消 mock 依赖，需要单独执行生产去 mock 任务：逐页禁用 fallback、补齐空态/错误态、用真实 seed 或测试数据支撑演示。</w:t>
      </w:r>
    </w:p>
    <w:p>
      <w:pPr>
        <w:pStyle w:val="Heading1"/>
        <w:spacing w:after="180" w:before="360"/>
      </w:pPr>
      <w:r>
        <w:t xml:space="preserve">七、常见问题与注意事项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问题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shd w:fill="EAF2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123C69"/>
                <w:sz w:val="20"/>
                <w:szCs w:val="20"/>
              </w:rPr>
              <w:t xml:space="preserve">处理建议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登录后访问后台提示无权限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确认使用管理员账号；正式口径需要 Bearer token；企业角色访问后台应返回 403。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页面显示 mock 或 fallback 提示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确认后端 3101、前端 5173 正常；验收时开启 VITE_ACCEPTANCE_MODE=true 并检查 network 证据。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结拍没有页面按钮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当前通过管理员 HTTP 入口 POST /api/admin/auction-closing/run 或运维定时触发。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裸启动后端端口不对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检查 backend/.env 或当前 shell PORT，发布前建议显式使用 PORT=3101。</w:t>
            </w:r>
          </w:p>
        </w:tc>
      </w:tr>
      <w:tr>
        <w:tc>
          <w:tcPr>
            <w:tcW w:type="dxa" w:w="300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附件无法访问</w:t>
            </w:r>
          </w:p>
        </w:tc>
        <w:tc>
          <w:tcPr>
            <w:tcW w:type="dxa" w:w="6360"/>
            <w:tcBorders>
              <w:top w:val="single" w:color="D8DEE9" w:sz="1"/>
              <w:left w:val="single" w:color="D8DEE9" w:sz="1"/>
              <w:bottom w:val="single" w:color="D8DEE9" w:sz="1"/>
              <w:right w:val="single" w:color="D8DEE9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 w:line="260"/>
            </w:pPr>
            <w:r>
              <w:rPr>
                <w:color w:val="334155"/>
                <w:sz w:val="20"/>
                <w:szCs w:val="20"/>
              </w:rPr>
              <w:t xml:space="preserve">敏感附件需管理员、上传用户或附件所属企业用户权限。</w:t>
            </w:r>
          </w:p>
        </w:tc>
      </w:tr>
    </w:tbl>
    <w:p>
      <w:pPr>
        <w:pStyle w:val="Heading1"/>
        <w:spacing w:after="180" w:before="360"/>
      </w:pPr>
      <w:r>
        <w:t xml:space="preserve">八、后续优化建议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排版与可用性：继续处理后台表格列宽、文字换行、按钮对齐、移动端溢出和详情抽屉阅读体验。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批量审核：拍品发布审核、企业认证审核、意向金审核建议统一增加勾选、批量通过、批量驳回、失败明细与刷新能力。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去 mock：生产演示环境建议默认禁用 mock fallback，只保留真实接口、真实数据库、空态和错误态。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结拍体验：可在后台增加“触发结拍处理”入口，或明确运维定时任务配置和执行日志。</w:t>
      </w:r>
    </w:p>
    <w:p>
      <w:pPr>
        <w:pStyle w:val="ListParagraph"/>
        <w:numPr>
          <w:ilvl w:val="0"/>
          <w:numId w:val="2"/>
        </w:numPr>
        <w:spacing w:after="40" w:before="40" w:line="280"/>
      </w:pPr>
      <w:r>
        <w:rPr>
          <w:sz w:val="21"/>
          <w:szCs w:val="21"/>
        </w:rPr>
        <w:t xml:space="preserve">发布验收：进入 T52 后应重新运行后端 lint/typecheck/test、前端 lint/build、schema diff、git diff --check 与关键浏览器 smoke。</w:t>
      </w:r>
    </w:p>
    <w:sectPr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Microsoft YaHei" w:cs="Microsoft YaHei" w:eastAsia="Microsoft YaHei" w:hAnsi="Microsoft YaHei"/>
      <w:b/>
      <w:bCs/>
      <w:color w:val="0B2A4A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Microsoft YaHei" w:cs="Microsoft YaHei" w:eastAsia="Microsoft YaHei" w:hAnsi="Microsoft YaHei"/>
      <w:b/>
      <w:bCs/>
      <w:color w:val="123C69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2026-05-19T12:09:24.133Z</dcterms:created>
  <dcterms:modified xsi:type="dcterms:W3CDTF">2026-05-19T12:09:24.135Z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