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20" w:line="276" w:lineRule="auto"/>
        <w:jc w:val="center"/>
      </w:pPr>
      <w:r>
        <w:rPr>
          <w:rFonts w:ascii="Georgia" w:hAnsi="Georgia"/>
          <w:b/>
          <w:color w:val="0A0E1A"/>
          <w:sz w:val="52"/>
        </w:rPr>
        <w:t>Stratégie de Lancement &amp; Marketing</w:t>
      </w:r>
    </w:p>
    <w:p>
      <w:pPr>
        <w:spacing w:before="0" w:after="480" w:line="276" w:lineRule="auto"/>
        <w:jc w:val="center"/>
      </w:pPr>
      <w:r>
        <w:rPr>
          <w:rFonts w:ascii="Calibri" w:hAnsi="Calibri"/>
          <w:i/>
          <w:color w:val="C5A059"/>
          <w:sz w:val="24"/>
        </w:rPr>
        <w:t>VeloceWealth · Instrument de Contrôle Financier Automobile</w:t>
      </w:r>
    </w:p>
    <w:p>
      <w:pPr>
        <w:spacing w:before="0" w:after="360" w:line="276" w:lineRule="auto"/>
        <w:jc w:val="center"/>
      </w:pPr>
      <w:r>
        <w:rPr>
          <w:color w:val="C5A059"/>
        </w:rPr>
        <w:t>——————————————————————————————————————————————————</w:t>
      </w:r>
    </w:p>
    <w:p>
      <w:pPr>
        <w:spacing w:before="360" w:after="160" w:line="276" w:lineRule="auto"/>
      </w:pPr>
      <w:r>
        <w:rPr>
          <w:rFonts w:ascii="Georgia" w:hAnsi="Georgia"/>
          <w:b/>
          <w:color w:val="0A0E1A"/>
          <w:sz w:val="40"/>
        </w:rPr>
        <w:t>Stratégie de Déploiement, GTM &amp; Marketing · VeloceWealth</w:t>
      </w:r>
    </w:p>
    <w:p>
      <w:pPr>
        <w:spacing w:before="0" w:after="240" w:line="276" w:lineRule="auto"/>
      </w:pPr>
      <w:r>
        <w:rPr>
          <w:color w:val="C5A059"/>
          <w:sz w:val="16"/>
        </w:rPr>
        <w:t>――――――――――――――――――――――――――――――</w:t>
      </w:r>
    </w:p>
    <w:p>
      <w:pPr>
        <w:spacing w:before="120" w:after="160" w:line="276" w:lineRule="auto"/>
        <w:ind w:left="576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064"/>
      </w:tblGrid>
      <w:tr>
        <w:tc>
          <w:tcPr>
            <w:tcW w:type="dxa" w:w="9360"/>
            <w:shd w:fill="F7F7F9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left w:val="single" w:sz="36" w:space="0" w:color="C5A059"/>
              <w:top w:val="none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color w:val="0A0E1A"/>
                <w:sz w:val="21"/>
              </w:rPr>
              <w:t xml:space="preserve">ℹ️ </w:t>
            </w:r>
            <w:r>
              <w:rPr>
                <w:rFonts w:ascii="Calibri" w:hAnsi="Calibri"/>
                <w:b/>
                <w:i/>
                <w:color w:val="282828"/>
                <w:sz w:val="21"/>
              </w:rPr>
              <w:t>Date de rédaction</w:t>
            </w:r>
            <w:r>
              <w:rPr>
                <w:rFonts w:ascii="Calibri" w:hAnsi="Calibri"/>
                <w:i/>
                <w:color w:val="282828"/>
                <w:sz w:val="21"/>
              </w:rPr>
              <w:t xml:space="preserve"> : 21 Mai 2026</w:t>
            </w:r>
          </w:p>
        </w:tc>
      </w:tr>
    </w:tbl>
    <w:p>
      <w:pPr>
        <w:spacing w:before="120" w:after="160" w:line="276" w:lineRule="auto"/>
        <w:ind w:left="576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064"/>
      </w:tblGrid>
      <w:tr>
        <w:tc>
          <w:tcPr>
            <w:tcW w:type="dxa" w:w="9360"/>
            <w:shd w:fill="F7F7F9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left w:val="single" w:sz="36" w:space="0" w:color="C5A059"/>
              <w:top w:val="none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color w:val="0A0E1A"/>
                <w:sz w:val="21"/>
              </w:rPr>
              <w:t xml:space="preserve">ℹ️ </w:t>
            </w:r>
            <w:r>
              <w:rPr>
                <w:rFonts w:ascii="Calibri" w:hAnsi="Calibri"/>
                <w:b/>
                <w:i/>
                <w:color w:val="282828"/>
                <w:sz w:val="21"/>
              </w:rPr>
              <w:t>Auteur</w:t>
            </w:r>
            <w:r>
              <w:rPr>
                <w:rFonts w:ascii="Calibri" w:hAnsi="Calibri"/>
                <w:i/>
                <w:color w:val="282828"/>
                <w:sz w:val="21"/>
              </w:rPr>
              <w:t xml:space="preserve"> : Antigravity (Architecte Fintech &amp; Lead Frontend)</w:t>
            </w:r>
          </w:p>
        </w:tc>
      </w:tr>
    </w:tbl>
    <w:p>
      <w:pPr>
        <w:spacing w:before="120" w:after="160" w:line="276" w:lineRule="auto"/>
        <w:ind w:left="576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064"/>
      </w:tblGrid>
      <w:tr>
        <w:tc>
          <w:tcPr>
            <w:tcW w:type="dxa" w:w="9360"/>
            <w:shd w:fill="F7F7F9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left w:val="single" w:sz="36" w:space="0" w:color="C5A059"/>
              <w:top w:val="none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color w:val="0A0E1A"/>
                <w:sz w:val="21"/>
              </w:rPr>
              <w:t xml:space="preserve">ℹ️ </w:t>
            </w:r>
            <w:r>
              <w:rPr>
                <w:rFonts w:ascii="Calibri" w:hAnsi="Calibri"/>
                <w:b/>
                <w:i/>
                <w:color w:val="282828"/>
                <w:sz w:val="21"/>
              </w:rPr>
              <w:t>Statut</w:t>
            </w:r>
            <w:r>
              <w:rPr>
                <w:rFonts w:ascii="Calibri" w:hAnsi="Calibri"/>
                <w:i/>
                <w:color w:val="282828"/>
                <w:sz w:val="21"/>
              </w:rPr>
              <w:t xml:space="preserve"> : Plan GTM V1</w:t>
            </w:r>
          </w:p>
        </w:tc>
      </w:tr>
    </w:tbl>
    <w:p>
      <w:pPr>
        <w:spacing w:before="80" w:after="160" w:line="276" w:lineRule="auto"/>
      </w:pPr>
      <w:r>
        <w:rPr>
          <w:rFonts w:ascii="Calibri" w:hAnsi="Calibri"/>
          <w:color w:val="282828"/>
          <w:sz w:val="22"/>
        </w:rPr>
        <w:t>---</w:t>
      </w:r>
    </w:p>
    <w:p>
      <w:pPr>
        <w:spacing w:before="80" w:after="160" w:line="276" w:lineRule="auto"/>
      </w:pPr>
      <w:r>
        <w:rPr>
          <w:rFonts w:ascii="Calibri" w:hAnsi="Calibri"/>
          <w:color w:val="282828"/>
          <w:sz w:val="22"/>
        </w:rPr>
        <w:t xml:space="preserve">Ce document détaille la feuille de route opérationnelle, technique et commerciale à suivre immédiatement après la phase de développement de </w:t>
      </w:r>
      <w:r>
        <w:rPr>
          <w:rFonts w:ascii="Calibri" w:hAnsi="Calibri"/>
          <w:b/>
          <w:color w:val="282828"/>
          <w:sz w:val="22"/>
        </w:rPr>
        <w:t>VeloceWealth</w:t>
      </w:r>
      <w:r>
        <w:rPr>
          <w:rFonts w:ascii="Calibri" w:hAnsi="Calibri"/>
          <w:color w:val="282828"/>
          <w:sz w:val="22"/>
        </w:rPr>
        <w:t xml:space="preserve"> afin de garantir un lancement sécurisé, performant et à forte croissance.</w:t>
      </w:r>
    </w:p>
    <w:p>
      <w:pPr>
        <w:spacing w:before="80" w:after="160" w:line="276" w:lineRule="auto"/>
      </w:pPr>
      <w:r>
        <w:rPr>
          <w:rFonts w:ascii="Calibri" w:hAnsi="Calibri"/>
          <w:color w:val="282828"/>
          <w:sz w:val="22"/>
        </w:rPr>
        <w:t>---</w:t>
      </w:r>
    </w:p>
    <w:p>
      <w:pPr>
        <w:spacing w:before="320" w:after="120" w:line="276" w:lineRule="auto"/>
      </w:pPr>
      <w:r>
        <w:rPr>
          <w:rFonts w:ascii="Georgia" w:hAnsi="Georgia"/>
          <w:b/>
          <w:color w:val="0A0E1A"/>
          <w:sz w:val="30"/>
        </w:rPr>
        <w:t>1. Déploiement Technique &amp; Infrastructures de Production</w:t>
      </w:r>
    </w:p>
    <w:p>
      <w:pPr>
        <w:spacing w:before="80" w:after="160" w:line="276" w:lineRule="auto"/>
      </w:pPr>
      <w:r>
        <w:rPr>
          <w:rFonts w:ascii="Calibri" w:hAnsi="Calibri"/>
          <w:color w:val="282828"/>
          <w:sz w:val="22"/>
        </w:rPr>
        <w:t>L'objectif est d'assurer une disponibilité de service maximale ($99.9\%$), une vitesse de chargement instantanée, et une étanchéité de sécurité absolue.</w:t>
      </w:r>
    </w:p>
    <w:p>
      <w:pPr>
        <w:spacing w:before="120" w:after="240" w:line="276" w:lineRule="auto"/>
        <w:ind w:left="7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920"/>
      </w:tblGrid>
      <w:tr>
        <w:tc>
          <w:tcPr>
            <w:tcW w:type="dxa" w:w="9360"/>
            <w:shd w:fill="0A0E1A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left w:val="single" w:sz="36" w:space="0" w:color="C5A059"/>
              <w:top w:val="none"/>
              <w:bottom w:val="none"/>
              <w:right w:val="none"/>
            </w:tcBorders>
          </w:tcPr>
          <w:p>
            <w:pPr>
              <w:spacing w:before="80" w:after="80" w:line="276" w:lineRule="auto"/>
            </w:pPr>
            <w:r>
              <w:rPr>
                <w:rFonts w:ascii="Calibri" w:hAnsi="Calibri"/>
                <w:b/>
                <w:color w:val="C5A059"/>
                <w:sz w:val="22"/>
              </w:rPr>
              <w:t>📊 SCHÉMA STRATÉGIQUE &amp; PROTOCOLE</w:t>
              <w:br/>
            </w:r>
            <w:r>
              <w:rPr>
                <w:rFonts w:ascii="Courier New" w:hAnsi="Courier New"/>
                <w:color w:val="FDFCF8"/>
                <w:sz w:val="19"/>
              </w:rPr>
              <w:t>ABranche main GitHub  ➔ |GitHub Actions / CI| BVérification : Lints, Types, Tests Unitaires &amp; E2E</w:t>
              <w:br/>
              <w:t>B  ➔ |Build &amp; Déploiement auto| CVercel Production - fra1</w:t>
              <w:br/>
              <w:t>C  ➔ |Webhooks| DStripe Live</w:t>
              <w:br/>
              <w:t>C  ➔ |Requêtes Database chiffrées| ESupabase Production</w:t>
              <w:br/>
              <w:t>C  ➔ |Cache &amp; Rate Limit| FUpstash Redis</w:t>
            </w:r>
          </w:p>
        </w:tc>
      </w:tr>
    </w:tbl>
    <w:p>
      <w:pPr>
        <w:spacing w:before="240" w:after="80" w:line="276" w:lineRule="auto"/>
      </w:pPr>
      <w:r>
        <w:rPr>
          <w:rFonts w:ascii="Calibri" w:hAnsi="Calibri"/>
          <w:b/>
          <w:color w:val="C5A059"/>
          <w:sz w:val="25"/>
        </w:rPr>
        <w:t>1.1. Hébergement Applicatif (Vercel)</w:t>
      </w:r>
    </w:p>
    <w:p>
      <w:pPr>
        <w:spacing w:before="40" w:after="60" w:line="276" w:lineRule="auto"/>
        <w:ind w:left="360" w:hanging="360"/>
      </w:pPr>
      <w:r>
        <w:rPr>
          <w:rFonts w:ascii="Calibri" w:hAnsi="Calibri"/>
          <w:b/>
          <w:color w:val="C5A059"/>
          <w:sz w:val="22"/>
        </w:rPr>
        <w:t xml:space="preserve">•  </w:t>
      </w:r>
      <w:r>
        <w:rPr>
          <w:rFonts w:ascii="Calibri" w:hAnsi="Calibri"/>
          <w:b/>
          <w:color w:val="282828"/>
          <w:sz w:val="22"/>
        </w:rPr>
        <w:t>Configuration multi-région</w:t>
      </w:r>
      <w:r>
        <w:rPr>
          <w:rFonts w:ascii="Calibri" w:hAnsi="Calibri"/>
          <w:color w:val="282828"/>
          <w:sz w:val="22"/>
        </w:rPr>
        <w:t xml:space="preserve"> : Déploiement fixé sur la région </w:t>
      </w:r>
      <w:r>
        <w:rPr>
          <w:rFonts w:ascii="Calibri" w:hAnsi="Calibri"/>
          <w:b/>
          <w:color w:val="282828"/>
          <w:sz w:val="22"/>
        </w:rPr>
        <w:t>Frankfurt (fra1)</w:t>
      </w:r>
      <w:r>
        <w:rPr>
          <w:rFonts w:ascii="Calibri" w:hAnsi="Calibri"/>
          <w:color w:val="282828"/>
          <w:sz w:val="22"/>
        </w:rPr>
        <w:t xml:space="preserve"> via le fichier </w:t>
      </w:r>
      <w:r>
        <w:rPr>
          <w:rFonts w:ascii="Calibri" w:hAnsi="Calibri"/>
          <w:color w:val="282828"/>
          <w:sz w:val="22"/>
        </w:rPr>
        <w:t>vercel.json</w:t>
      </w:r>
      <w:r>
        <w:rPr>
          <w:rFonts w:ascii="Calibri" w:hAnsi="Calibri"/>
          <w:color w:val="282828"/>
          <w:sz w:val="22"/>
        </w:rPr>
        <w:t xml:space="preserve"> pour être au plus près de la base de données Supabase (RGPD compliancy).</w:t>
      </w:r>
    </w:p>
    <w:p>
      <w:pPr>
        <w:spacing w:before="40" w:after="60" w:line="276" w:lineRule="auto"/>
        <w:ind w:left="360" w:hanging="360"/>
      </w:pPr>
      <w:r>
        <w:rPr>
          <w:rFonts w:ascii="Calibri" w:hAnsi="Calibri"/>
          <w:b/>
          <w:color w:val="C5A059"/>
          <w:sz w:val="22"/>
        </w:rPr>
        <w:t xml:space="preserve">•  </w:t>
      </w:r>
      <w:r>
        <w:rPr>
          <w:rFonts w:ascii="Calibri" w:hAnsi="Calibri"/>
          <w:b/>
          <w:color w:val="282828"/>
          <w:sz w:val="22"/>
        </w:rPr>
        <w:t>Noms de domaines &amp; DNS</w:t>
      </w:r>
      <w:r>
        <w:rPr>
          <w:rFonts w:ascii="Calibri" w:hAnsi="Calibri"/>
          <w:color w:val="282828"/>
          <w:sz w:val="22"/>
        </w:rPr>
        <w:t xml:space="preserve"> :</w:t>
      </w:r>
    </w:p>
    <w:p>
      <w:pPr>
        <w:spacing w:before="40" w:after="60" w:line="276" w:lineRule="auto"/>
        <w:ind w:left="720" w:hanging="360"/>
      </w:pPr>
      <w:r>
        <w:rPr>
          <w:rFonts w:ascii="Calibri" w:hAnsi="Calibri"/>
          <w:b/>
          <w:color w:val="C5A059"/>
          <w:sz w:val="22"/>
        </w:rPr>
        <w:t xml:space="preserve">▪  </w:t>
      </w:r>
      <w:r>
        <w:rPr>
          <w:rFonts w:ascii="Calibri" w:hAnsi="Calibri"/>
          <w:color w:val="282828"/>
          <w:sz w:val="22"/>
        </w:rPr>
        <w:t xml:space="preserve">Domaine principal : </w:t>
      </w:r>
      <w:r>
        <w:rPr>
          <w:rFonts w:ascii="Calibri" w:hAnsi="Calibri"/>
          <w:color w:val="282828"/>
          <w:sz w:val="22"/>
        </w:rPr>
        <w:t>velocewealth.app</w:t>
      </w:r>
      <w:r>
        <w:rPr>
          <w:rFonts w:ascii="Calibri" w:hAnsi="Calibri"/>
          <w:color w:val="282828"/>
          <w:sz w:val="22"/>
        </w:rPr>
        <w:t xml:space="preserve"> (ou </w:t>
      </w:r>
      <w:r>
        <w:rPr>
          <w:rFonts w:ascii="Calibri" w:hAnsi="Calibri"/>
          <w:color w:val="282828"/>
          <w:sz w:val="22"/>
        </w:rPr>
        <w:t>.com</w:t>
      </w:r>
      <w:r>
        <w:rPr>
          <w:rFonts w:ascii="Calibri" w:hAnsi="Calibri"/>
          <w:color w:val="282828"/>
          <w:sz w:val="22"/>
        </w:rPr>
        <w:t>).</w:t>
      </w:r>
    </w:p>
    <w:p>
      <w:pPr>
        <w:spacing w:before="40" w:after="60" w:line="276" w:lineRule="auto"/>
        <w:ind w:left="720" w:hanging="360"/>
      </w:pPr>
      <w:r>
        <w:rPr>
          <w:rFonts w:ascii="Calibri" w:hAnsi="Calibri"/>
          <w:b/>
          <w:color w:val="C5A059"/>
          <w:sz w:val="22"/>
        </w:rPr>
        <w:t xml:space="preserve">▪  </w:t>
      </w:r>
      <w:r>
        <w:rPr>
          <w:rFonts w:ascii="Calibri" w:hAnsi="Calibri"/>
          <w:color w:val="282828"/>
          <w:sz w:val="22"/>
        </w:rPr>
        <w:t>Redirection automatique des requêtes HTTP vers HTTPS avec forçage TLS 1.3.</w:t>
      </w:r>
    </w:p>
    <w:p>
      <w:pPr>
        <w:spacing w:before="40" w:after="60" w:line="276" w:lineRule="auto"/>
        <w:ind w:left="720" w:hanging="360"/>
      </w:pPr>
      <w:r>
        <w:rPr>
          <w:rFonts w:ascii="Calibri" w:hAnsi="Calibri"/>
          <w:b/>
          <w:color w:val="C5A059"/>
          <w:sz w:val="22"/>
        </w:rPr>
        <w:t xml:space="preserve">▪  </w:t>
      </w:r>
      <w:r>
        <w:rPr>
          <w:rFonts w:ascii="Calibri" w:hAnsi="Calibri"/>
          <w:color w:val="282828"/>
          <w:sz w:val="22"/>
        </w:rPr>
        <w:t>Déclaration des enregistrements TXT pour SPF, DKIM et DMARC afin de légitimer les emails de bienvenue envoyés par l'application.</w:t>
      </w:r>
    </w:p>
    <w:p>
      <w:pPr>
        <w:spacing w:before="240" w:after="80" w:line="276" w:lineRule="auto"/>
      </w:pPr>
      <w:r>
        <w:rPr>
          <w:rFonts w:ascii="Calibri" w:hAnsi="Calibri"/>
          <w:b/>
          <w:color w:val="C5A059"/>
          <w:sz w:val="25"/>
        </w:rPr>
        <w:t>1.2. Base de Données &amp; Stockage (Supabase)</w:t>
      </w:r>
    </w:p>
    <w:p>
      <w:pPr>
        <w:spacing w:before="40" w:after="60" w:line="276" w:lineRule="auto"/>
        <w:ind w:left="360" w:hanging="360"/>
      </w:pPr>
      <w:r>
        <w:rPr>
          <w:rFonts w:ascii="Calibri" w:hAnsi="Calibri"/>
          <w:b/>
          <w:color w:val="C5A059"/>
          <w:sz w:val="22"/>
        </w:rPr>
        <w:t xml:space="preserve">•  </w:t>
      </w:r>
      <w:r>
        <w:rPr>
          <w:rFonts w:ascii="Calibri" w:hAnsi="Calibri"/>
          <w:b/>
          <w:color w:val="282828"/>
          <w:sz w:val="22"/>
        </w:rPr>
        <w:t>Bascule en Production</w:t>
      </w:r>
      <w:r>
        <w:rPr>
          <w:rFonts w:ascii="Calibri" w:hAnsi="Calibri"/>
          <w:color w:val="282828"/>
          <w:sz w:val="22"/>
        </w:rPr>
        <w:t xml:space="preserve"> :</w:t>
      </w:r>
    </w:p>
    <w:p>
      <w:pPr>
        <w:spacing w:before="40" w:after="60" w:line="276" w:lineRule="auto"/>
        <w:ind w:left="720" w:hanging="360"/>
      </w:pPr>
      <w:r>
        <w:rPr>
          <w:rFonts w:ascii="Calibri" w:hAnsi="Calibri"/>
          <w:b/>
          <w:color w:val="C5A059"/>
          <w:sz w:val="22"/>
        </w:rPr>
        <w:t xml:space="preserve">▪  </w:t>
      </w:r>
      <w:r>
        <w:rPr>
          <w:rFonts w:ascii="Calibri" w:hAnsi="Calibri"/>
          <w:color w:val="282828"/>
          <w:sz w:val="22"/>
        </w:rPr>
        <w:t>Désactiver le mode développement dans le dashboard d'authentification (exiger la confirmation d'email systématique).</w:t>
      </w:r>
    </w:p>
    <w:p>
      <w:pPr>
        <w:spacing w:before="40" w:after="60" w:line="276" w:lineRule="auto"/>
        <w:ind w:left="720" w:hanging="360"/>
      </w:pPr>
      <w:r>
        <w:rPr>
          <w:rFonts w:ascii="Calibri" w:hAnsi="Calibri"/>
          <w:b/>
          <w:color w:val="C5A059"/>
          <w:sz w:val="22"/>
        </w:rPr>
        <w:t xml:space="preserve">▪  </w:t>
      </w:r>
      <w:r>
        <w:rPr>
          <w:rFonts w:ascii="Calibri" w:hAnsi="Calibri"/>
          <w:color w:val="282828"/>
          <w:sz w:val="22"/>
        </w:rPr>
        <w:t>Exécuter les migrations finales de hardening de base de données.</w:t>
      </w:r>
    </w:p>
    <w:p>
      <w:pPr>
        <w:spacing w:before="40" w:after="60" w:line="276" w:lineRule="auto"/>
        <w:ind w:left="720" w:hanging="360"/>
      </w:pPr>
      <w:r>
        <w:rPr>
          <w:rFonts w:ascii="Calibri" w:hAnsi="Calibri"/>
          <w:b/>
          <w:color w:val="C5A059"/>
          <w:sz w:val="22"/>
        </w:rPr>
        <w:t xml:space="preserve">▪  </w:t>
      </w:r>
      <w:r>
        <w:rPr>
          <w:rFonts w:ascii="Calibri" w:hAnsi="Calibri"/>
          <w:color w:val="282828"/>
          <w:sz w:val="22"/>
        </w:rPr>
        <w:t>Lancer le script d'audit des politiques RLS (</w:t>
      </w:r>
      <w:r>
        <w:rPr>
          <w:rFonts w:ascii="Calibri" w:hAnsi="Calibri"/>
          <w:color w:val="282828"/>
          <w:sz w:val="22"/>
        </w:rPr>
        <w:t>npm run audit:rls</w:t>
      </w:r>
      <w:r>
        <w:rPr>
          <w:rFonts w:ascii="Calibri" w:hAnsi="Calibri"/>
          <w:color w:val="282828"/>
          <w:sz w:val="22"/>
        </w:rPr>
        <w:t>) pour garantir qu'aucune faille d'accès inter-utilisateurs n'est possible.</w:t>
      </w:r>
    </w:p>
    <w:p>
      <w:pPr>
        <w:spacing w:before="40" w:after="60" w:line="276" w:lineRule="auto"/>
        <w:ind w:left="360" w:hanging="360"/>
      </w:pPr>
      <w:r>
        <w:rPr>
          <w:rFonts w:ascii="Calibri" w:hAnsi="Calibri"/>
          <w:b/>
          <w:color w:val="C5A059"/>
          <w:sz w:val="22"/>
        </w:rPr>
        <w:t xml:space="preserve">•  </w:t>
      </w:r>
      <w:r>
        <w:rPr>
          <w:rFonts w:ascii="Calibri" w:hAnsi="Calibri"/>
          <w:b/>
          <w:color w:val="282828"/>
          <w:sz w:val="22"/>
        </w:rPr>
        <w:t>Sauvegardes (Backups)</w:t>
      </w:r>
      <w:r>
        <w:rPr>
          <w:rFonts w:ascii="Calibri" w:hAnsi="Calibri"/>
          <w:color w:val="282828"/>
          <w:sz w:val="22"/>
        </w:rPr>
        <w:t xml:space="preserve"> :</w:t>
      </w:r>
    </w:p>
    <w:p>
      <w:pPr>
        <w:spacing w:before="40" w:after="60" w:line="276" w:lineRule="auto"/>
        <w:ind w:left="720" w:hanging="360"/>
      </w:pPr>
      <w:r>
        <w:rPr>
          <w:rFonts w:ascii="Calibri" w:hAnsi="Calibri"/>
          <w:b/>
          <w:color w:val="C5A059"/>
          <w:sz w:val="22"/>
        </w:rPr>
        <w:t xml:space="preserve">▪  </w:t>
      </w:r>
      <w:r>
        <w:rPr>
          <w:rFonts w:ascii="Calibri" w:hAnsi="Calibri"/>
          <w:color w:val="282828"/>
          <w:sz w:val="22"/>
        </w:rPr>
        <w:t>Planifier une sauvegarde physique quotidienne automatisée de la base de données.</w:t>
      </w:r>
    </w:p>
    <w:p>
      <w:pPr>
        <w:spacing w:before="40" w:after="60" w:line="276" w:lineRule="auto"/>
        <w:ind w:left="720" w:hanging="360"/>
      </w:pPr>
      <w:r>
        <w:rPr>
          <w:rFonts w:ascii="Calibri" w:hAnsi="Calibri"/>
          <w:b/>
          <w:color w:val="C5A059"/>
          <w:sz w:val="22"/>
        </w:rPr>
        <w:t xml:space="preserve">▪  </w:t>
      </w:r>
      <w:r>
        <w:rPr>
          <w:rFonts w:ascii="Calibri" w:hAnsi="Calibri"/>
          <w:color w:val="282828"/>
          <w:sz w:val="22"/>
        </w:rPr>
        <w:t>Répliquer les sauvegardes froides sur un bucket cloud isolé de secours.</w:t>
      </w:r>
    </w:p>
    <w:p>
      <w:pPr>
        <w:spacing w:before="240" w:after="80" w:line="276" w:lineRule="auto"/>
      </w:pPr>
      <w:r>
        <w:rPr>
          <w:rFonts w:ascii="Calibri" w:hAnsi="Calibri"/>
          <w:b/>
          <w:color w:val="C5A059"/>
          <w:sz w:val="25"/>
        </w:rPr>
        <w:t>1.3. Transition vers le Mode Réel (Third-Party APIs)</w:t>
      </w:r>
    </w:p>
    <w:p>
      <w:pPr>
        <w:spacing w:before="40" w:after="60" w:line="276" w:lineRule="auto"/>
        <w:ind w:left="360" w:hanging="360"/>
      </w:pPr>
      <w:r>
        <w:rPr>
          <w:rFonts w:ascii="Calibri" w:hAnsi="Calibri"/>
          <w:b/>
          <w:color w:val="C5A059"/>
          <w:sz w:val="22"/>
        </w:rPr>
        <w:t xml:space="preserve">•  </w:t>
      </w:r>
      <w:r>
        <w:rPr>
          <w:rFonts w:ascii="Calibri" w:hAnsi="Calibri"/>
          <w:b/>
          <w:color w:val="282828"/>
          <w:sz w:val="22"/>
        </w:rPr>
        <w:t>Stripe Live Mode</w:t>
      </w:r>
      <w:r>
        <w:rPr>
          <w:rFonts w:ascii="Calibri" w:hAnsi="Calibri"/>
          <w:color w:val="282828"/>
          <w:sz w:val="22"/>
        </w:rPr>
        <w:t xml:space="preserve"> :</w:t>
      </w:r>
    </w:p>
    <w:p>
      <w:pPr>
        <w:spacing w:before="40" w:after="60" w:line="276" w:lineRule="auto"/>
        <w:ind w:left="720" w:hanging="360"/>
      </w:pPr>
      <w:r>
        <w:rPr>
          <w:rFonts w:ascii="Calibri" w:hAnsi="Calibri"/>
          <w:b/>
          <w:color w:val="C5A059"/>
          <w:sz w:val="22"/>
        </w:rPr>
        <w:t xml:space="preserve">▪  </w:t>
      </w:r>
      <w:r>
        <w:rPr>
          <w:rFonts w:ascii="Calibri" w:hAnsi="Calibri"/>
          <w:color w:val="282828"/>
          <w:sz w:val="22"/>
        </w:rPr>
        <w:t>Basculer le compte Stripe en mode réel (</w:t>
      </w:r>
      <w:r>
        <w:rPr>
          <w:rFonts w:ascii="Calibri" w:hAnsi="Calibri"/>
          <w:i/>
          <w:color w:val="282828"/>
          <w:sz w:val="22"/>
        </w:rPr>
        <w:t>live</w:t>
      </w:r>
      <w:r>
        <w:rPr>
          <w:rFonts w:ascii="Calibri" w:hAnsi="Calibri"/>
          <w:color w:val="282828"/>
          <w:sz w:val="22"/>
        </w:rPr>
        <w:t>).</w:t>
      </w:r>
    </w:p>
    <w:p>
      <w:pPr>
        <w:spacing w:before="40" w:after="60" w:line="276" w:lineRule="auto"/>
        <w:ind w:left="720" w:hanging="360"/>
      </w:pPr>
      <w:r>
        <w:rPr>
          <w:rFonts w:ascii="Calibri" w:hAnsi="Calibri"/>
          <w:b/>
          <w:color w:val="C5A059"/>
          <w:sz w:val="22"/>
        </w:rPr>
        <w:t xml:space="preserve">▪  </w:t>
      </w:r>
      <w:r>
        <w:rPr>
          <w:rFonts w:ascii="Calibri" w:hAnsi="Calibri"/>
          <w:color w:val="282828"/>
          <w:sz w:val="22"/>
        </w:rPr>
        <w:t xml:space="preserve">Recréer les identifiants de produits et de prix réels dans Stripe, puis mettre à jour les variables </w:t>
      </w:r>
      <w:r>
        <w:rPr>
          <w:rFonts w:ascii="Calibri" w:hAnsi="Calibri"/>
          <w:color w:val="282828"/>
          <w:sz w:val="22"/>
        </w:rPr>
        <w:t>STRIPE_PRICE_MONTHLY</w:t>
      </w:r>
      <w:r>
        <w:rPr>
          <w:rFonts w:ascii="Calibri" w:hAnsi="Calibri"/>
          <w:color w:val="282828"/>
          <w:sz w:val="22"/>
        </w:rPr>
        <w:t xml:space="preserve"> et </w:t>
      </w:r>
      <w:r>
        <w:rPr>
          <w:rFonts w:ascii="Calibri" w:hAnsi="Calibri"/>
          <w:color w:val="282828"/>
          <w:sz w:val="22"/>
        </w:rPr>
        <w:t>STRIPE_PRICE_YEARLY</w:t>
      </w:r>
      <w:r>
        <w:rPr>
          <w:rFonts w:ascii="Calibri" w:hAnsi="Calibri"/>
          <w:color w:val="282828"/>
          <w:sz w:val="22"/>
        </w:rPr>
        <w:t xml:space="preserve"> dans le fichier </w:t>
      </w:r>
      <w:r>
        <w:rPr>
          <w:rFonts w:ascii="Calibri" w:hAnsi="Calibri"/>
          <w:color w:val="282828"/>
          <w:sz w:val="22"/>
        </w:rPr>
        <w:t>.env</w:t>
      </w:r>
      <w:r>
        <w:rPr>
          <w:rFonts w:ascii="Calibri" w:hAnsi="Calibri"/>
          <w:color w:val="282828"/>
          <w:sz w:val="22"/>
        </w:rPr>
        <w:t xml:space="preserve"> de production.</w:t>
      </w:r>
    </w:p>
    <w:p>
      <w:pPr>
        <w:spacing w:before="40" w:after="60" w:line="276" w:lineRule="auto"/>
        <w:ind w:left="720" w:hanging="360"/>
      </w:pPr>
      <w:r>
        <w:rPr>
          <w:rFonts w:ascii="Calibri" w:hAnsi="Calibri"/>
          <w:b/>
          <w:color w:val="C5A059"/>
          <w:sz w:val="22"/>
        </w:rPr>
        <w:t xml:space="preserve">▪  </w:t>
      </w:r>
      <w:r>
        <w:rPr>
          <w:rFonts w:ascii="Calibri" w:hAnsi="Calibri"/>
          <w:color w:val="282828"/>
          <w:sz w:val="22"/>
        </w:rPr>
        <w:t xml:space="preserve">Mettre à jour l'URL du webhook Stripe de production pour pointer vers </w:t>
      </w:r>
      <w:r>
        <w:rPr>
          <w:rFonts w:ascii="Calibri" w:hAnsi="Calibri"/>
          <w:color w:val="282828"/>
          <w:sz w:val="22"/>
        </w:rPr>
        <w:t>https://velocewealth.app/api/stripe/webhook</w:t>
      </w:r>
      <w:r>
        <w:rPr>
          <w:rFonts w:ascii="Calibri" w:hAnsi="Calibri"/>
          <w:color w:val="282828"/>
          <w:sz w:val="22"/>
        </w:rPr>
        <w:t xml:space="preserve"> et copier la signature </w:t>
      </w:r>
      <w:r>
        <w:rPr>
          <w:rFonts w:ascii="Calibri" w:hAnsi="Calibri"/>
          <w:color w:val="282828"/>
          <w:sz w:val="22"/>
        </w:rPr>
        <w:t>whsec_...</w:t>
      </w:r>
      <w:r>
        <w:rPr>
          <w:rFonts w:ascii="Calibri" w:hAnsi="Calibri"/>
          <w:color w:val="282828"/>
          <w:sz w:val="22"/>
        </w:rPr>
        <w:t xml:space="preserve"> réelle.</w:t>
      </w:r>
    </w:p>
    <w:p>
      <w:pPr>
        <w:spacing w:before="40" w:after="60" w:line="276" w:lineRule="auto"/>
        <w:ind w:left="360" w:hanging="360"/>
      </w:pPr>
      <w:r>
        <w:rPr>
          <w:rFonts w:ascii="Calibri" w:hAnsi="Calibri"/>
          <w:b/>
          <w:color w:val="C5A059"/>
          <w:sz w:val="22"/>
        </w:rPr>
        <w:t xml:space="preserve">•  </w:t>
      </w:r>
      <w:r>
        <w:rPr>
          <w:rFonts w:ascii="Calibri" w:hAnsi="Calibri"/>
          <w:b/>
          <w:color w:val="282828"/>
          <w:sz w:val="22"/>
        </w:rPr>
        <w:t>Google Cloud &amp; Mapbox</w:t>
      </w:r>
      <w:r>
        <w:rPr>
          <w:rFonts w:ascii="Calibri" w:hAnsi="Calibri"/>
          <w:color w:val="282828"/>
          <w:sz w:val="22"/>
        </w:rPr>
        <w:t xml:space="preserve"> :</w:t>
      </w:r>
    </w:p>
    <w:p>
      <w:pPr>
        <w:spacing w:before="40" w:after="60" w:line="276" w:lineRule="auto"/>
        <w:ind w:left="720" w:hanging="360"/>
      </w:pPr>
      <w:r>
        <w:rPr>
          <w:rFonts w:ascii="Calibri" w:hAnsi="Calibri"/>
          <w:b/>
          <w:color w:val="C5A059"/>
          <w:sz w:val="22"/>
        </w:rPr>
        <w:t xml:space="preserve">▪  </w:t>
      </w:r>
      <w:r>
        <w:rPr>
          <w:rFonts w:ascii="Calibri" w:hAnsi="Calibri"/>
          <w:color w:val="282828"/>
          <w:sz w:val="22"/>
        </w:rPr>
        <w:t xml:space="preserve">Restreindre le token d'API public Mapbox aux seuls domaines </w:t>
      </w:r>
      <w:r>
        <w:rPr>
          <w:rFonts w:ascii="Calibri" w:hAnsi="Calibri"/>
          <w:color w:val="282828"/>
          <w:sz w:val="22"/>
        </w:rPr>
        <w:t>velocewealth.app</w:t>
      </w:r>
      <w:r>
        <w:rPr>
          <w:rFonts w:ascii="Calibri" w:hAnsi="Calibri"/>
          <w:color w:val="282828"/>
          <w:sz w:val="22"/>
        </w:rPr>
        <w:t xml:space="preserve"> et ses sous-domaines.</w:t>
      </w:r>
    </w:p>
    <w:p>
      <w:pPr>
        <w:spacing w:before="40" w:after="60" w:line="276" w:lineRule="auto"/>
        <w:ind w:left="720" w:hanging="360"/>
      </w:pPr>
      <w:r>
        <w:rPr>
          <w:rFonts w:ascii="Calibri" w:hAnsi="Calibri"/>
          <w:b/>
          <w:color w:val="C5A059"/>
          <w:sz w:val="22"/>
        </w:rPr>
        <w:t xml:space="preserve">▪  </w:t>
      </w:r>
      <w:r>
        <w:rPr>
          <w:rFonts w:ascii="Calibri" w:hAnsi="Calibri"/>
          <w:color w:val="282828"/>
          <w:sz w:val="22"/>
        </w:rPr>
        <w:t>Configurer un plafond de budget mensuel d'alerte sur Google Cloud Platform pour l'API Cloud Vision (OCR) afin de bloquer les abus potentiels.</w:t>
      </w:r>
    </w:p>
    <w:p>
      <w:pPr>
        <w:spacing w:before="80" w:after="160" w:line="276" w:lineRule="auto"/>
      </w:pPr>
      <w:r>
        <w:rPr>
          <w:rFonts w:ascii="Calibri" w:hAnsi="Calibri"/>
          <w:color w:val="282828"/>
          <w:sz w:val="22"/>
        </w:rPr>
        <w:t>---</w:t>
      </w:r>
    </w:p>
    <w:p>
      <w:pPr>
        <w:spacing w:before="320" w:after="120" w:line="276" w:lineRule="auto"/>
      </w:pPr>
      <w:r>
        <w:rPr>
          <w:rFonts w:ascii="Georgia" w:hAnsi="Georgia"/>
          <w:b/>
          <w:color w:val="0A0E1A"/>
          <w:sz w:val="30"/>
        </w:rPr>
        <w:t>2. Supervision, Observabilité &amp; Robustesse en Production</w:t>
      </w:r>
    </w:p>
    <w:p>
      <w:pPr>
        <w:spacing w:before="80" w:after="160" w:line="276" w:lineRule="auto"/>
      </w:pPr>
      <w:r>
        <w:rPr>
          <w:rFonts w:ascii="Calibri" w:hAnsi="Calibri"/>
          <w:color w:val="282828"/>
          <w:sz w:val="22"/>
        </w:rPr>
        <w:t>Pour piloter l'application comme un instrument de précision, nous mettons en place une surveillance en temps réel de l'état de santé technique et opérationnel.</w:t>
      </w:r>
    </w:p>
    <w:p>
      <w:pPr>
        <w:spacing w:before="240" w:after="80" w:line="276" w:lineRule="auto"/>
      </w:pPr>
      <w:r>
        <w:rPr>
          <w:rFonts w:ascii="Calibri" w:hAnsi="Calibri"/>
          <w:b/>
          <w:color w:val="C5A059"/>
          <w:sz w:val="25"/>
        </w:rPr>
        <w:t>2.1. Erreurs &amp; Crash-reporting (Sentry)</w:t>
      </w:r>
    </w:p>
    <w:p>
      <w:pPr>
        <w:spacing w:before="40" w:after="60" w:line="276" w:lineRule="auto"/>
        <w:ind w:left="360" w:hanging="360"/>
      </w:pPr>
      <w:r>
        <w:rPr>
          <w:rFonts w:ascii="Calibri" w:hAnsi="Calibri"/>
          <w:b/>
          <w:color w:val="C5A059"/>
          <w:sz w:val="22"/>
        </w:rPr>
        <w:t xml:space="preserve">•  </w:t>
      </w:r>
      <w:r>
        <w:rPr>
          <w:rFonts w:ascii="Calibri" w:hAnsi="Calibri"/>
          <w:color w:val="282828"/>
          <w:sz w:val="22"/>
        </w:rPr>
        <w:t>Configurer le DSN réel sur l'environnement de production.</w:t>
      </w:r>
    </w:p>
    <w:p>
      <w:pPr>
        <w:spacing w:before="40" w:after="60" w:line="276" w:lineRule="auto"/>
        <w:ind w:left="360" w:hanging="360"/>
      </w:pPr>
      <w:r>
        <w:rPr>
          <w:rFonts w:ascii="Calibri" w:hAnsi="Calibri"/>
          <w:b/>
          <w:color w:val="C5A059"/>
          <w:sz w:val="22"/>
        </w:rPr>
        <w:t xml:space="preserve">•  </w:t>
      </w:r>
      <w:r>
        <w:rPr>
          <w:rFonts w:ascii="Calibri" w:hAnsi="Calibri"/>
          <w:color w:val="282828"/>
          <w:sz w:val="22"/>
        </w:rPr>
        <w:t>Activer le tracking de performance (</w:t>
      </w:r>
      <w:r>
        <w:rPr>
          <w:rFonts w:ascii="Calibri" w:hAnsi="Calibri"/>
          <w:i/>
          <w:color w:val="282828"/>
          <w:sz w:val="22"/>
        </w:rPr>
        <w:t>Tracing</w:t>
      </w:r>
      <w:r>
        <w:rPr>
          <w:rFonts w:ascii="Calibri" w:hAnsi="Calibri"/>
          <w:color w:val="282828"/>
          <w:sz w:val="22"/>
        </w:rPr>
        <w:t>) à hauteur de $10\%$ des sessions utilisateurs pour analyser la réactivité des requêtes serveur et les temps de réponse de la base de données.</w:t>
      </w:r>
    </w:p>
    <w:p>
      <w:pPr>
        <w:spacing w:before="240" w:after="80" w:line="276" w:lineRule="auto"/>
      </w:pPr>
      <w:r>
        <w:rPr>
          <w:rFonts w:ascii="Calibri" w:hAnsi="Calibri"/>
          <w:b/>
          <w:color w:val="C5A059"/>
          <w:sz w:val="25"/>
        </w:rPr>
        <w:t>2.2. Analyse d'Usage &amp; KPI Métier</w:t>
      </w:r>
    </w:p>
    <w:p>
      <w:pPr>
        <w:spacing w:before="40" w:after="60" w:line="276" w:lineRule="auto"/>
        <w:ind w:left="360" w:hanging="360"/>
      </w:pPr>
      <w:r>
        <w:rPr>
          <w:rFonts w:ascii="Calibri" w:hAnsi="Calibri"/>
          <w:b/>
          <w:color w:val="C5A059"/>
          <w:sz w:val="22"/>
        </w:rPr>
        <w:t xml:space="preserve">•  </w:t>
      </w:r>
      <w:r>
        <w:rPr>
          <w:rFonts w:ascii="Calibri" w:hAnsi="Calibri"/>
          <w:color w:val="282828"/>
          <w:sz w:val="22"/>
        </w:rPr>
        <w:t>Suivi quotidien des indicateurs de croissance :</w:t>
      </w:r>
    </w:p>
    <w:p>
      <w:pPr>
        <w:spacing w:before="40" w:after="60" w:line="276" w:lineRule="auto"/>
        <w:ind w:left="720" w:hanging="360"/>
      </w:pPr>
      <w:r>
        <w:rPr>
          <w:rFonts w:ascii="Calibri" w:hAnsi="Calibri"/>
          <w:b/>
          <w:color w:val="C5A059"/>
          <w:sz w:val="22"/>
        </w:rPr>
        <w:t xml:space="preserve">▪  </w:t>
      </w:r>
      <w:r>
        <w:rPr>
          <w:rFonts w:ascii="Calibri" w:hAnsi="Calibri"/>
          <w:b/>
          <w:color w:val="282828"/>
          <w:sz w:val="22"/>
        </w:rPr>
        <w:t>Nombre d'utilisateurs actifs mensuels (MAU)</w:t>
      </w:r>
      <w:r>
        <w:rPr>
          <w:rFonts w:ascii="Calibri" w:hAnsi="Calibri"/>
          <w:color w:val="282828"/>
          <w:sz w:val="22"/>
        </w:rPr>
        <w:t xml:space="preserve"> et taux d'inscription quotidien.</w:t>
      </w:r>
    </w:p>
    <w:p>
      <w:pPr>
        <w:spacing w:before="40" w:after="60" w:line="276" w:lineRule="auto"/>
        <w:ind w:left="720" w:hanging="360"/>
      </w:pPr>
      <w:r>
        <w:rPr>
          <w:rFonts w:ascii="Calibri" w:hAnsi="Calibri"/>
          <w:b/>
          <w:color w:val="C5A059"/>
          <w:sz w:val="22"/>
        </w:rPr>
        <w:t xml:space="preserve">▪  </w:t>
      </w:r>
      <w:r>
        <w:rPr>
          <w:rFonts w:ascii="Calibri" w:hAnsi="Calibri"/>
          <w:b/>
          <w:color w:val="282828"/>
          <w:sz w:val="22"/>
        </w:rPr>
        <w:t>Taux de conversion Stripe</w:t>
      </w:r>
      <w:r>
        <w:rPr>
          <w:rFonts w:ascii="Calibri" w:hAnsi="Calibri"/>
          <w:color w:val="282828"/>
          <w:sz w:val="22"/>
        </w:rPr>
        <w:t xml:space="preserve"> (visiteurs de la page </w:t>
      </w:r>
      <w:r>
        <w:rPr>
          <w:rFonts w:ascii="Calibri" w:hAnsi="Calibri"/>
          <w:color w:val="282828"/>
          <w:sz w:val="22"/>
        </w:rPr>
        <w:t>/pricing</w:t>
      </w:r>
      <w:r>
        <w:rPr>
          <w:rFonts w:ascii="Calibri" w:hAnsi="Calibri"/>
          <w:color w:val="282828"/>
          <w:sz w:val="22"/>
        </w:rPr>
        <w:t xml:space="preserve"> $\rightarrow$ abonnés Premium).</w:t>
      </w:r>
    </w:p>
    <w:p>
      <w:pPr>
        <w:spacing w:before="40" w:after="60" w:line="276" w:lineRule="auto"/>
        <w:ind w:left="720" w:hanging="360"/>
      </w:pPr>
      <w:r>
        <w:rPr>
          <w:rFonts w:ascii="Calibri" w:hAnsi="Calibri"/>
          <w:b/>
          <w:color w:val="C5A059"/>
          <w:sz w:val="22"/>
        </w:rPr>
        <w:t xml:space="preserve">▪  </w:t>
      </w:r>
      <w:r>
        <w:rPr>
          <w:rFonts w:ascii="Calibri" w:hAnsi="Calibri"/>
          <w:b/>
          <w:color w:val="282828"/>
          <w:sz w:val="22"/>
        </w:rPr>
        <w:t>Coût moyen de fonctionnement par utilisateur</w:t>
      </w:r>
      <w:r>
        <w:rPr>
          <w:rFonts w:ascii="Calibri" w:hAnsi="Calibri"/>
          <w:color w:val="282828"/>
          <w:sz w:val="22"/>
        </w:rPr>
        <w:t xml:space="preserve"> (calculé via le nombre d'appels OCR Google Vision par rapport aux abonnements perçus).</w:t>
      </w:r>
    </w:p>
    <w:p>
      <w:pPr>
        <w:spacing w:before="40" w:after="60" w:line="276" w:lineRule="auto"/>
        <w:ind w:left="720" w:hanging="360"/>
      </w:pPr>
      <w:r>
        <w:rPr>
          <w:rFonts w:ascii="Calibri" w:hAnsi="Calibri"/>
          <w:b/>
          <w:color w:val="C5A059"/>
          <w:sz w:val="22"/>
        </w:rPr>
        <w:t xml:space="preserve">▪  </w:t>
      </w:r>
      <w:r>
        <w:rPr>
          <w:rFonts w:ascii="Calibri" w:hAnsi="Calibri"/>
          <w:b/>
          <w:color w:val="282828"/>
          <w:sz w:val="22"/>
        </w:rPr>
        <w:t>Volume de transactions et dépenses enregistrées</w:t>
      </w:r>
      <w:r>
        <w:rPr>
          <w:rFonts w:ascii="Calibri" w:hAnsi="Calibri"/>
          <w:color w:val="282828"/>
          <w:sz w:val="22"/>
        </w:rPr>
        <w:t xml:space="preserve"> sur la plateforme (valeur totale du capital automobile piloté).</w:t>
      </w:r>
    </w:p>
    <w:p>
      <w:pPr>
        <w:spacing w:before="80" w:after="160" w:line="276" w:lineRule="auto"/>
      </w:pPr>
      <w:r>
        <w:rPr>
          <w:rFonts w:ascii="Calibri" w:hAnsi="Calibri"/>
          <w:color w:val="282828"/>
          <w:sz w:val="22"/>
        </w:rPr>
        <w:t>---</w:t>
      </w:r>
    </w:p>
    <w:p>
      <w:pPr>
        <w:spacing w:before="320" w:after="120" w:line="276" w:lineRule="auto"/>
      </w:pPr>
      <w:r>
        <w:rPr>
          <w:rFonts w:ascii="Georgia" w:hAnsi="Georgia"/>
          <w:b/>
          <w:color w:val="0A0E1A"/>
          <w:sz w:val="30"/>
        </w:rPr>
        <w:t>3. Stratégie Marketing &amp; Acquisition Client (Go-To-Market)</w:t>
      </w:r>
    </w:p>
    <w:p>
      <w:pPr>
        <w:spacing w:before="80" w:after="160" w:line="276" w:lineRule="auto"/>
      </w:pPr>
      <w:r>
        <w:rPr>
          <w:rFonts w:ascii="Calibri" w:hAnsi="Calibri"/>
          <w:color w:val="282828"/>
          <w:sz w:val="22"/>
        </w:rPr>
        <w:t xml:space="preserve">VeloceWealth ne vend pas un "tracker de factures", mais un </w:t>
      </w:r>
      <w:r>
        <w:rPr>
          <w:rFonts w:ascii="Calibri" w:hAnsi="Calibri"/>
          <w:b/>
          <w:color w:val="282828"/>
          <w:sz w:val="22"/>
        </w:rPr>
        <w:t>instrument d'optimisation financière</w:t>
      </w:r>
      <w:r>
        <w:rPr>
          <w:rFonts w:ascii="Calibri" w:hAnsi="Calibri"/>
          <w:color w:val="282828"/>
          <w:sz w:val="22"/>
        </w:rPr>
        <w:t>. Le ton marketing doit être expert, exclusif et focalisé sur le retour sur investissement (ROI).</w:t>
      </w:r>
    </w:p>
    <w:p>
      <w:pPr>
        <w:spacing w:before="240" w:after="80" w:line="276" w:lineRule="auto"/>
      </w:pPr>
      <w:r>
        <w:rPr>
          <w:rFonts w:ascii="Calibri" w:hAnsi="Calibri"/>
          <w:b/>
          <w:color w:val="C5A059"/>
          <w:sz w:val="25"/>
        </w:rPr>
        <w:t>3.1. Acquisition Organique (Le Moteur SEO)</w:t>
      </w:r>
    </w:p>
    <w:p>
      <w:pPr>
        <w:spacing w:before="80" w:after="160" w:line="276" w:lineRule="auto"/>
      </w:pPr>
      <w:r>
        <w:rPr>
          <w:rFonts w:ascii="Calibri" w:hAnsi="Calibri"/>
          <w:color w:val="282828"/>
          <w:sz w:val="22"/>
        </w:rPr>
        <w:t>Le référencement naturel est le canal d'acquisition le plus rentable à long terme.</w:t>
      </w:r>
    </w:p>
    <w:p>
      <w:pPr>
        <w:spacing w:before="40" w:after="60" w:line="276" w:lineRule="auto"/>
        <w:ind w:left="360" w:hanging="360"/>
      </w:pPr>
      <w:r>
        <w:rPr>
          <w:rFonts w:ascii="Calibri" w:hAnsi="Calibri"/>
          <w:b/>
          <w:color w:val="C5A059"/>
          <w:sz w:val="22"/>
        </w:rPr>
        <w:t xml:space="preserve">•  </w:t>
      </w:r>
      <w:r>
        <w:rPr>
          <w:rFonts w:ascii="Calibri" w:hAnsi="Calibri"/>
          <w:b/>
          <w:color w:val="282828"/>
          <w:sz w:val="22"/>
        </w:rPr>
        <w:t>Pages Programmatiques d'Immatriculation</w:t>
      </w:r>
      <w:r>
        <w:rPr>
          <w:rFonts w:ascii="Calibri" w:hAnsi="Calibri"/>
          <w:color w:val="282828"/>
          <w:sz w:val="22"/>
        </w:rPr>
        <w:t xml:space="preserve"> :</w:t>
      </w:r>
    </w:p>
    <w:p>
      <w:pPr>
        <w:spacing w:before="40" w:after="60" w:line="276" w:lineRule="auto"/>
        <w:ind w:left="720" w:hanging="360"/>
      </w:pPr>
      <w:r>
        <w:rPr>
          <w:rFonts w:ascii="Calibri" w:hAnsi="Calibri"/>
          <w:b/>
          <w:color w:val="C5A059"/>
          <w:sz w:val="22"/>
        </w:rPr>
        <w:t xml:space="preserve">▪  </w:t>
      </w:r>
      <w:r>
        <w:rPr>
          <w:rFonts w:ascii="Calibri" w:hAnsi="Calibri"/>
          <w:color w:val="282828"/>
          <w:sz w:val="22"/>
        </w:rPr>
        <w:t xml:space="preserve">Créer des pages de garde publiques optimisées pour le SEO pour chaque modèle de voiture populaire (ex: </w:t>
      </w:r>
      <w:r>
        <w:rPr>
          <w:rFonts w:ascii="Calibri" w:hAnsi="Calibri"/>
          <w:color w:val="282828"/>
          <w:sz w:val="22"/>
        </w:rPr>
        <w:t>/modeles/porsche-911-carrera-tco</w:t>
      </w:r>
      <w:r>
        <w:rPr>
          <w:rFonts w:ascii="Calibri" w:hAnsi="Calibri"/>
          <w:color w:val="282828"/>
          <w:sz w:val="22"/>
        </w:rPr>
        <w:t>).</w:t>
      </w:r>
    </w:p>
    <w:p>
      <w:pPr>
        <w:spacing w:before="40" w:after="60" w:line="276" w:lineRule="auto"/>
        <w:ind w:left="720" w:hanging="360"/>
      </w:pPr>
      <w:r>
        <w:rPr>
          <w:rFonts w:ascii="Calibri" w:hAnsi="Calibri"/>
          <w:b/>
          <w:color w:val="C5A059"/>
          <w:sz w:val="22"/>
        </w:rPr>
        <w:t xml:space="preserve">▪  </w:t>
      </w:r>
      <w:r>
        <w:rPr>
          <w:rFonts w:ascii="Calibri" w:hAnsi="Calibri"/>
          <w:color w:val="282828"/>
          <w:sz w:val="22"/>
        </w:rPr>
        <w:t>Ces pages affichent des statistiques anonymisées et agrégées (ex: coût d'entretien moyen estimé, mix de dépréciation annuelle). Elles attirent naturellement les internautes effectuant des recherches avant achat.</w:t>
      </w:r>
    </w:p>
    <w:p>
      <w:pPr>
        <w:spacing w:before="40" w:after="60" w:line="276" w:lineRule="auto"/>
        <w:ind w:left="360" w:hanging="360"/>
      </w:pPr>
      <w:r>
        <w:rPr>
          <w:rFonts w:ascii="Calibri" w:hAnsi="Calibri"/>
          <w:b/>
          <w:color w:val="C5A059"/>
          <w:sz w:val="22"/>
        </w:rPr>
        <w:t xml:space="preserve">•  </w:t>
      </w:r>
      <w:r>
        <w:rPr>
          <w:rFonts w:ascii="Calibri" w:hAnsi="Calibri"/>
          <w:b/>
          <w:color w:val="282828"/>
          <w:sz w:val="22"/>
        </w:rPr>
        <w:t>Stratégie de Contenu Financer</w:t>
      </w:r>
      <w:r>
        <w:rPr>
          <w:rFonts w:ascii="Calibri" w:hAnsi="Calibri"/>
          <w:color w:val="282828"/>
          <w:sz w:val="22"/>
        </w:rPr>
        <w:t xml:space="preserve"> :</w:t>
      </w:r>
    </w:p>
    <w:p>
      <w:pPr>
        <w:spacing w:before="40" w:after="60" w:line="276" w:lineRule="auto"/>
        <w:ind w:left="720" w:hanging="360"/>
      </w:pPr>
      <w:r>
        <w:rPr>
          <w:rFonts w:ascii="Calibri" w:hAnsi="Calibri"/>
          <w:b/>
          <w:color w:val="C5A059"/>
          <w:sz w:val="22"/>
        </w:rPr>
        <w:t xml:space="preserve">▪  </w:t>
      </w:r>
      <w:r>
        <w:rPr>
          <w:rFonts w:ascii="Calibri" w:hAnsi="Calibri"/>
          <w:color w:val="282828"/>
          <w:sz w:val="22"/>
        </w:rPr>
        <w:t>Rédaction d'articles experts sur la gestion du patrimoine automobile :</w:t>
      </w:r>
    </w:p>
    <w:p>
      <w:pPr>
        <w:spacing w:before="40" w:after="60" w:line="276" w:lineRule="auto"/>
        <w:ind w:left="1080" w:hanging="360"/>
      </w:pPr>
      <w:r>
        <w:rPr>
          <w:rFonts w:ascii="Calibri" w:hAnsi="Calibri"/>
          <w:b/>
          <w:color w:val="C5A059"/>
          <w:sz w:val="22"/>
        </w:rPr>
        <w:t xml:space="preserve">▪  </w:t>
      </w:r>
      <w:r>
        <w:rPr>
          <w:rFonts w:ascii="Calibri" w:hAnsi="Calibri"/>
          <w:i/>
          <w:color w:val="282828"/>
          <w:sz w:val="22"/>
        </w:rPr>
        <w:t>"Comment le carnet d'entretien certifié augmente la valeur de revente de 12%."</w:t>
      </w:r>
    </w:p>
    <w:p>
      <w:pPr>
        <w:spacing w:before="40" w:after="60" w:line="276" w:lineRule="auto"/>
        <w:ind w:left="1080" w:hanging="360"/>
      </w:pPr>
      <w:r>
        <w:rPr>
          <w:rFonts w:ascii="Calibri" w:hAnsi="Calibri"/>
          <w:b/>
          <w:color w:val="C5A059"/>
          <w:sz w:val="22"/>
        </w:rPr>
        <w:t xml:space="preserve">▪  </w:t>
      </w:r>
      <w:r>
        <w:rPr>
          <w:rFonts w:ascii="Calibri" w:hAnsi="Calibri"/>
          <w:i/>
          <w:color w:val="282828"/>
          <w:sz w:val="22"/>
        </w:rPr>
        <w:t>"L'impact de la taxe sur la masse (malus poids) et de la dépréciation sur votre TCO."</w:t>
      </w:r>
    </w:p>
    <w:p>
      <w:pPr>
        <w:spacing w:before="40" w:after="60" w:line="276" w:lineRule="auto"/>
        <w:ind w:left="1080" w:hanging="360"/>
      </w:pPr>
      <w:r>
        <w:rPr>
          <w:rFonts w:ascii="Calibri" w:hAnsi="Calibri"/>
          <w:b/>
          <w:color w:val="C5A059"/>
          <w:sz w:val="22"/>
        </w:rPr>
        <w:t xml:space="preserve">▪  </w:t>
      </w:r>
      <w:r>
        <w:rPr>
          <w:rFonts w:ascii="Calibri" w:hAnsi="Calibri"/>
          <w:i/>
          <w:color w:val="282828"/>
          <w:sz w:val="22"/>
        </w:rPr>
        <w:t>"Optimiser son entreprise individuelle grâce au barème des frais réels de voiture."</w:t>
      </w:r>
    </w:p>
    <w:p>
      <w:pPr>
        <w:spacing w:before="240" w:after="80" w:line="276" w:lineRule="auto"/>
      </w:pPr>
      <w:r>
        <w:rPr>
          <w:rFonts w:ascii="Calibri" w:hAnsi="Calibri"/>
          <w:b/>
          <w:color w:val="C5A059"/>
          <w:sz w:val="25"/>
        </w:rPr>
        <w:t>3.2. Le Levier de Croissance Viral (Growth Loop)</w:t>
      </w:r>
    </w:p>
    <w:p>
      <w:pPr>
        <w:spacing w:before="40" w:after="60" w:line="276" w:lineRule="auto"/>
        <w:ind w:left="360" w:hanging="360"/>
      </w:pPr>
      <w:r>
        <w:rPr>
          <w:rFonts w:ascii="Calibri" w:hAnsi="Calibri"/>
          <w:b/>
          <w:color w:val="C5A059"/>
          <w:sz w:val="22"/>
        </w:rPr>
        <w:t xml:space="preserve">•  </w:t>
      </w:r>
      <w:r>
        <w:rPr>
          <w:rFonts w:ascii="Calibri" w:hAnsi="Calibri"/>
          <w:b/>
          <w:color w:val="282828"/>
          <w:sz w:val="22"/>
        </w:rPr>
        <w:t>Partage du "Carnet Numérique Certifié"</w:t>
      </w:r>
      <w:r>
        <w:rPr>
          <w:rFonts w:ascii="Calibri" w:hAnsi="Calibri"/>
          <w:color w:val="282828"/>
          <w:sz w:val="22"/>
        </w:rPr>
        <w:t xml:space="preserve"> :</w:t>
      </w:r>
    </w:p>
    <w:p>
      <w:pPr>
        <w:spacing w:before="40" w:after="60" w:line="276" w:lineRule="auto"/>
        <w:ind w:left="720" w:hanging="360"/>
      </w:pPr>
      <w:r>
        <w:rPr>
          <w:rFonts w:ascii="Calibri" w:hAnsi="Calibri"/>
          <w:b/>
          <w:color w:val="C5A059"/>
          <w:sz w:val="22"/>
        </w:rPr>
        <w:t xml:space="preserve">▪  </w:t>
      </w:r>
      <w:r>
        <w:rPr>
          <w:rFonts w:ascii="Calibri" w:hAnsi="Calibri"/>
          <w:color w:val="282828"/>
          <w:sz w:val="22"/>
        </w:rPr>
        <w:t>Lors de la vente de son véhicule, l'abonné Premium génère un lien public de consultation de sa voiture (sans données personnelles, uniquement les factures vérifiées, kilométrages et hashs cryptographiques).</w:t>
      </w:r>
    </w:p>
    <w:p>
      <w:pPr>
        <w:spacing w:before="40" w:after="60" w:line="276" w:lineRule="auto"/>
        <w:ind w:left="720" w:hanging="360"/>
      </w:pPr>
      <w:r>
        <w:rPr>
          <w:rFonts w:ascii="Calibri" w:hAnsi="Calibri"/>
          <w:b/>
          <w:color w:val="C5A059"/>
          <w:sz w:val="22"/>
        </w:rPr>
        <w:t xml:space="preserve">▪  </w:t>
      </w:r>
      <w:r>
        <w:rPr>
          <w:rFonts w:ascii="Calibri" w:hAnsi="Calibri"/>
          <w:color w:val="282828"/>
          <w:sz w:val="22"/>
        </w:rPr>
        <w:t>L'intégration de ce lien sur les plateformes de vente d'occasion (La Centrale, LeBonCoin, Mobile.de) rassure instantanément l'acheteur.</w:t>
      </w:r>
    </w:p>
    <w:p>
      <w:pPr>
        <w:spacing w:before="40" w:after="60" w:line="276" w:lineRule="auto"/>
        <w:ind w:left="720" w:hanging="360"/>
      </w:pPr>
      <w:r>
        <w:rPr>
          <w:rFonts w:ascii="Calibri" w:hAnsi="Calibri"/>
          <w:b/>
          <w:color w:val="C5A059"/>
          <w:sz w:val="22"/>
        </w:rPr>
        <w:t xml:space="preserve">▪  </w:t>
      </w:r>
      <w:r>
        <w:rPr>
          <w:rFonts w:ascii="Calibri" w:hAnsi="Calibri"/>
          <w:color w:val="282828"/>
          <w:sz w:val="22"/>
        </w:rPr>
        <w:t xml:space="preserve">Chaque acheteur consultant ce rapport sécurisé découvre </w:t>
      </w:r>
      <w:r>
        <w:rPr>
          <w:rFonts w:ascii="Calibri" w:hAnsi="Calibri"/>
          <w:b/>
          <w:color w:val="282828"/>
          <w:sz w:val="22"/>
        </w:rPr>
        <w:t>VeloceWealth</w:t>
      </w:r>
      <w:r>
        <w:rPr>
          <w:rFonts w:ascii="Calibri" w:hAnsi="Calibri"/>
          <w:color w:val="282828"/>
          <w:sz w:val="22"/>
        </w:rPr>
        <w:t xml:space="preserve"> au moment idéal de sa prise de décision d'achat, créant une boucle de recommandation virale organique.</w:t>
      </w:r>
    </w:p>
    <w:p>
      <w:pPr>
        <w:spacing w:before="240" w:after="80" w:line="276" w:lineRule="auto"/>
      </w:pPr>
      <w:r>
        <w:rPr>
          <w:rFonts w:ascii="Calibri" w:hAnsi="Calibri"/>
          <w:b/>
          <w:color w:val="C5A059"/>
          <w:sz w:val="25"/>
        </w:rPr>
        <w:t>3.3. Partenariats B2B (Le Réseau VeloceWealth)</w:t>
      </w:r>
    </w:p>
    <w:p>
      <w:pPr>
        <w:spacing w:before="40" w:after="60" w:line="276" w:lineRule="auto"/>
        <w:ind w:left="360" w:hanging="360"/>
      </w:pPr>
      <w:r>
        <w:rPr>
          <w:rFonts w:ascii="Calibri" w:hAnsi="Calibri"/>
          <w:b/>
          <w:color w:val="C5A059"/>
          <w:sz w:val="22"/>
        </w:rPr>
        <w:t xml:space="preserve">•  </w:t>
      </w:r>
      <w:r>
        <w:rPr>
          <w:rFonts w:ascii="Calibri" w:hAnsi="Calibri"/>
          <w:b/>
          <w:color w:val="282828"/>
          <w:sz w:val="22"/>
        </w:rPr>
        <w:t>Les Garages &amp; Spécialistes Indépendants</w:t>
      </w:r>
      <w:r>
        <w:rPr>
          <w:rFonts w:ascii="Calibri" w:hAnsi="Calibri"/>
          <w:color w:val="282828"/>
          <w:sz w:val="22"/>
        </w:rPr>
        <w:t xml:space="preserve"> :</w:t>
      </w:r>
    </w:p>
    <w:p>
      <w:pPr>
        <w:spacing w:before="40" w:after="60" w:line="276" w:lineRule="auto"/>
        <w:ind w:left="720" w:hanging="360"/>
      </w:pPr>
      <w:r>
        <w:rPr>
          <w:rFonts w:ascii="Calibri" w:hAnsi="Calibri"/>
          <w:b/>
          <w:color w:val="C5A059"/>
          <w:sz w:val="22"/>
        </w:rPr>
        <w:t xml:space="preserve">▪  </w:t>
      </w:r>
      <w:r>
        <w:rPr>
          <w:rFonts w:ascii="Calibri" w:hAnsi="Calibri"/>
          <w:color w:val="282828"/>
          <w:sz w:val="22"/>
        </w:rPr>
        <w:t>Recruter des garages de confiance et les référencer gratuitement sur notre carte Mapbox.</w:t>
      </w:r>
    </w:p>
    <w:p>
      <w:pPr>
        <w:spacing w:before="40" w:after="60" w:line="276" w:lineRule="auto"/>
        <w:ind w:left="720" w:hanging="360"/>
      </w:pPr>
      <w:r>
        <w:rPr>
          <w:rFonts w:ascii="Calibri" w:hAnsi="Calibri"/>
          <w:b/>
          <w:color w:val="C5A059"/>
          <w:sz w:val="22"/>
        </w:rPr>
        <w:t xml:space="preserve">▪  </w:t>
      </w:r>
      <w:r>
        <w:rPr>
          <w:rFonts w:ascii="Calibri" w:hAnsi="Calibri"/>
          <w:color w:val="282828"/>
          <w:sz w:val="22"/>
        </w:rPr>
        <w:t>Fournir aux professionnels un portail partenaire leur permettant de certifier directement les factures qu'ils émettent pour les abonnés VeloceWealth.</w:t>
      </w:r>
    </w:p>
    <w:p>
      <w:pPr>
        <w:spacing w:before="40" w:after="60" w:line="276" w:lineRule="auto"/>
        <w:ind w:left="720" w:hanging="360"/>
      </w:pPr>
      <w:r>
        <w:rPr>
          <w:rFonts w:ascii="Calibri" w:hAnsi="Calibri"/>
          <w:b/>
          <w:color w:val="C5A059"/>
          <w:sz w:val="22"/>
        </w:rPr>
        <w:t xml:space="preserve">▪  </w:t>
      </w:r>
      <w:r>
        <w:rPr>
          <w:rFonts w:ascii="Calibri" w:hAnsi="Calibri"/>
          <w:color w:val="282828"/>
          <w:sz w:val="22"/>
        </w:rPr>
        <w:t>En échange, le professionnel gagne en visibilité auprès d'une clientèle qualifiée de propriétaires de véhicules haut de gamme.</w:t>
      </w:r>
    </w:p>
    <w:p>
      <w:pPr>
        <w:spacing w:before="40" w:after="60" w:line="276" w:lineRule="auto"/>
        <w:ind w:left="360" w:hanging="360"/>
      </w:pPr>
      <w:r>
        <w:rPr>
          <w:rFonts w:ascii="Calibri" w:hAnsi="Calibri"/>
          <w:b/>
          <w:color w:val="C5A059"/>
          <w:sz w:val="22"/>
        </w:rPr>
        <w:t xml:space="preserve">•  </w:t>
      </w:r>
      <w:r>
        <w:rPr>
          <w:rFonts w:ascii="Calibri" w:hAnsi="Calibri"/>
          <w:b/>
          <w:color w:val="282828"/>
          <w:sz w:val="22"/>
        </w:rPr>
        <w:t>Clubs Automobiles &amp; Assureurs</w:t>
      </w:r>
      <w:r>
        <w:rPr>
          <w:rFonts w:ascii="Calibri" w:hAnsi="Calibri"/>
          <w:color w:val="282828"/>
          <w:sz w:val="22"/>
        </w:rPr>
        <w:t xml:space="preserve"> :</w:t>
      </w:r>
    </w:p>
    <w:p>
      <w:pPr>
        <w:spacing w:before="40" w:after="60" w:line="276" w:lineRule="auto"/>
        <w:ind w:left="720" w:hanging="360"/>
      </w:pPr>
      <w:r>
        <w:rPr>
          <w:rFonts w:ascii="Calibri" w:hAnsi="Calibri"/>
          <w:b/>
          <w:color w:val="C5A059"/>
          <w:sz w:val="22"/>
        </w:rPr>
        <w:t xml:space="preserve">▪  </w:t>
      </w:r>
      <w:r>
        <w:rPr>
          <w:rFonts w:ascii="Calibri" w:hAnsi="Calibri"/>
          <w:color w:val="282828"/>
          <w:sz w:val="22"/>
        </w:rPr>
        <w:t>Mettre en place des partenariats d'affiliation avec des clubs de marque (Porsche Club, Club Alpine, etc.) offrant 3 mois d'essai Premium à leurs membres.</w:t>
      </w:r>
    </w:p>
    <w:p>
      <w:pPr>
        <w:spacing w:before="40" w:after="60" w:line="276" w:lineRule="auto"/>
        <w:ind w:left="720" w:hanging="360"/>
      </w:pPr>
      <w:r>
        <w:rPr>
          <w:rFonts w:ascii="Calibri" w:hAnsi="Calibri"/>
          <w:b/>
          <w:color w:val="C5A059"/>
          <w:sz w:val="22"/>
        </w:rPr>
        <w:t xml:space="preserve">▪  </w:t>
      </w:r>
      <w:r>
        <w:rPr>
          <w:rFonts w:ascii="Calibri" w:hAnsi="Calibri"/>
          <w:color w:val="282828"/>
          <w:sz w:val="22"/>
        </w:rPr>
        <w:t>Négocier avec des courtiers en assurances premium des remises sur la prime d'assurance des utilisateurs qui maintiennent un excellent score de santé PHM (preuve de conduite et d'entretien rigoureux).</w:t>
      </w:r>
    </w:p>
    <w:p>
      <w:pPr>
        <w:spacing w:before="240" w:after="80" w:line="276" w:lineRule="auto"/>
      </w:pPr>
      <w:r>
        <w:rPr>
          <w:rFonts w:ascii="Calibri" w:hAnsi="Calibri"/>
          <w:b/>
          <w:color w:val="C5A059"/>
          <w:sz w:val="25"/>
        </w:rPr>
        <w:t>3.4. Campagnes d'Acquisition Payantes (Paid)</w:t>
      </w:r>
    </w:p>
    <w:p>
      <w:pPr>
        <w:spacing w:before="40" w:after="60" w:line="276" w:lineRule="auto"/>
        <w:ind w:left="360" w:hanging="360"/>
      </w:pPr>
      <w:r>
        <w:rPr>
          <w:rFonts w:ascii="Calibri" w:hAnsi="Calibri"/>
          <w:b/>
          <w:color w:val="C5A059"/>
          <w:sz w:val="22"/>
        </w:rPr>
        <w:t xml:space="preserve">•  </w:t>
      </w:r>
      <w:r>
        <w:rPr>
          <w:rFonts w:ascii="Calibri" w:hAnsi="Calibri"/>
          <w:b/>
          <w:color w:val="282828"/>
          <w:sz w:val="22"/>
        </w:rPr>
        <w:t>Publicités ciblées sur les réseaux sociaux (Meta Ads / Instagram)</w:t>
      </w:r>
      <w:r>
        <w:rPr>
          <w:rFonts w:ascii="Calibri" w:hAnsi="Calibri"/>
          <w:color w:val="282828"/>
          <w:sz w:val="22"/>
        </w:rPr>
        <w:t xml:space="preserve"> :</w:t>
      </w:r>
    </w:p>
    <w:p>
      <w:pPr>
        <w:spacing w:before="40" w:after="60" w:line="276" w:lineRule="auto"/>
        <w:ind w:left="720" w:hanging="360"/>
      </w:pPr>
      <w:r>
        <w:rPr>
          <w:rFonts w:ascii="Calibri" w:hAnsi="Calibri"/>
          <w:b/>
          <w:color w:val="C5A059"/>
          <w:sz w:val="22"/>
        </w:rPr>
        <w:t xml:space="preserve">▪  </w:t>
      </w:r>
      <w:r>
        <w:rPr>
          <w:rFonts w:ascii="Calibri" w:hAnsi="Calibri"/>
          <w:color w:val="282828"/>
          <w:sz w:val="22"/>
        </w:rPr>
        <w:t>Cibler les passionnés d'automobile, les abonnés aux magazines de finance/gestion de patrimoine et les propriétaires de modèles premium.</w:t>
      </w:r>
    </w:p>
    <w:p>
      <w:pPr>
        <w:spacing w:before="40" w:after="60" w:line="276" w:lineRule="auto"/>
        <w:ind w:left="720" w:hanging="360"/>
      </w:pPr>
      <w:r>
        <w:rPr>
          <w:rFonts w:ascii="Calibri" w:hAnsi="Calibri"/>
          <w:b/>
          <w:color w:val="C5A059"/>
          <w:sz w:val="22"/>
        </w:rPr>
        <w:t xml:space="preserve">▪  </w:t>
      </w:r>
      <w:r>
        <w:rPr>
          <w:rFonts w:ascii="Calibri" w:hAnsi="Calibri"/>
          <w:color w:val="282828"/>
          <w:sz w:val="22"/>
        </w:rPr>
        <w:t>Mettre en avant la simplicité de la numérisation OCR ("Prenez votre reçu en photo, nous calculons votre rentabilité").</w:t>
      </w:r>
    </w:p>
    <w:p>
      <w:pPr>
        <w:spacing w:before="40" w:after="60" w:line="276" w:lineRule="auto"/>
        <w:ind w:left="360" w:hanging="360"/>
      </w:pPr>
      <w:r>
        <w:rPr>
          <w:rFonts w:ascii="Calibri" w:hAnsi="Calibri"/>
          <w:b/>
          <w:color w:val="C5A059"/>
          <w:sz w:val="22"/>
        </w:rPr>
        <w:t xml:space="preserve">•  </w:t>
      </w:r>
      <w:r>
        <w:rPr>
          <w:rFonts w:ascii="Calibri" w:hAnsi="Calibri"/>
          <w:b/>
          <w:color w:val="282828"/>
          <w:sz w:val="22"/>
        </w:rPr>
        <w:t>LinkedIn Ads</w:t>
      </w:r>
      <w:r>
        <w:rPr>
          <w:rFonts w:ascii="Calibri" w:hAnsi="Calibri"/>
          <w:color w:val="282828"/>
          <w:sz w:val="22"/>
        </w:rPr>
        <w:t xml:space="preserve"> :</w:t>
      </w:r>
    </w:p>
    <w:p>
      <w:pPr>
        <w:spacing w:before="40" w:after="60" w:line="276" w:lineRule="auto"/>
        <w:ind w:left="720" w:hanging="360"/>
      </w:pPr>
      <w:r>
        <w:rPr>
          <w:rFonts w:ascii="Calibri" w:hAnsi="Calibri"/>
          <w:b/>
          <w:color w:val="C5A059"/>
          <w:sz w:val="22"/>
        </w:rPr>
        <w:t xml:space="preserve">▪  </w:t>
      </w:r>
      <w:r>
        <w:rPr>
          <w:rFonts w:ascii="Calibri" w:hAnsi="Calibri"/>
          <w:color w:val="282828"/>
          <w:sz w:val="22"/>
        </w:rPr>
        <w:t>Cibler les professions libérales (médecins, avocats, consultants) et les dirigeants de PME qui roulent beaucoup sous le régime fiscal des frais réels.</w:t>
      </w:r>
    </w:p>
    <w:p>
      <w:pPr>
        <w:spacing w:before="80" w:after="160" w:line="276" w:lineRule="auto"/>
      </w:pPr>
      <w:r>
        <w:rPr>
          <w:rFonts w:ascii="Calibri" w:hAnsi="Calibri"/>
          <w:color w:val="282828"/>
          <w:sz w:val="22"/>
        </w:rPr>
        <w:t>---</w:t>
      </w:r>
    </w:p>
    <w:p>
      <w:pPr>
        <w:spacing w:before="320" w:after="120" w:line="276" w:lineRule="auto"/>
      </w:pPr>
      <w:r>
        <w:rPr>
          <w:rFonts w:ascii="Georgia" w:hAnsi="Georgia"/>
          <w:b/>
          <w:color w:val="0A0E1A"/>
          <w:sz w:val="30"/>
        </w:rPr>
        <w:t>4. Rétention &amp; Cycle de Vie Client</w:t>
      </w:r>
    </w:p>
    <w:p>
      <w:pPr>
        <w:spacing w:before="80" w:after="160" w:line="276" w:lineRule="auto"/>
      </w:pPr>
      <w:r>
        <w:rPr>
          <w:rFonts w:ascii="Calibri" w:hAnsi="Calibri"/>
          <w:color w:val="282828"/>
          <w:sz w:val="22"/>
        </w:rPr>
        <w:t>Garder un client coûte 5 fois moins cher que d'en acquérir un nouveau.</w:t>
      </w:r>
    </w:p>
    <w:p>
      <w:pPr>
        <w:spacing w:before="120" w:after="240" w:line="276" w:lineRule="auto"/>
        <w:ind w:left="7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920"/>
      </w:tblGrid>
      <w:tr>
        <w:tc>
          <w:tcPr>
            <w:tcW w:type="dxa" w:w="9360"/>
            <w:shd w:fill="0A0E1A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left w:val="single" w:sz="36" w:space="0" w:color="C5A059"/>
              <w:top w:val="none"/>
              <w:bottom w:val="none"/>
              <w:right w:val="none"/>
            </w:tcBorders>
          </w:tcPr>
          <w:p>
            <w:pPr>
              <w:spacing w:before="80" w:after="80" w:line="276" w:lineRule="auto"/>
            </w:pPr>
            <w:r>
              <w:rPr>
                <w:rFonts w:ascii="Calibri" w:hAnsi="Calibri"/>
                <w:b/>
                <w:color w:val="C5A059"/>
                <w:sz w:val="22"/>
              </w:rPr>
              <w:t>📊 SCHÉMA STRATÉGIQUE &amp; PROTOCOLE</w:t>
              <w:br/>
            </w:r>
            <w:r>
              <w:rPr>
                <w:rFonts w:ascii="Courier New" w:hAnsi="Courier New"/>
                <w:color w:val="FDFCF8"/>
                <w:sz w:val="19"/>
              </w:rPr>
              <w:t>A1. Inscription &amp; Onboarding Accueil personnalisé + Ajout du premier véhicule en 3s</w:t>
              <w:br/>
              <w:t>B2. Premier Scan OCR Extraction magique du premier ticket de carburant</w:t>
              <w:br/>
              <w:t>C3. Première Alerte PHM Alerte d'usure calculée - Moment 'Aha!'</w:t>
              <w:br/>
              <w:t>D4. Bilan TCO 30 jours Rapport mensuel d'optimisation par e-mail</w:t>
              <w:br/>
              <w:t>E5. Partage &amp; Revente Utilisation du Carnet Certifié pour valoriser le capital</w:t>
              <w:br/>
              <w:t>A  ➔  B</w:t>
              <w:br/>
              <w:t>B  ➔  C</w:t>
              <w:br/>
              <w:t>C  ➔  D</w:t>
              <w:br/>
              <w:t>D  ➔  E</w:t>
            </w:r>
          </w:p>
        </w:tc>
      </w:tr>
    </w:tbl>
    <w:p>
      <w:pPr>
        <w:spacing w:before="40" w:after="60" w:line="276" w:lineRule="auto"/>
        <w:ind w:left="360" w:hanging="360"/>
      </w:pPr>
      <w:r>
        <w:rPr>
          <w:rFonts w:ascii="Calibri" w:hAnsi="Calibri"/>
          <w:b/>
          <w:color w:val="C5A059"/>
          <w:sz w:val="22"/>
        </w:rPr>
        <w:t xml:space="preserve">•  </w:t>
      </w:r>
      <w:r>
        <w:rPr>
          <w:rFonts w:ascii="Calibri" w:hAnsi="Calibri"/>
          <w:b/>
          <w:color w:val="282828"/>
          <w:sz w:val="22"/>
        </w:rPr>
        <w:t>Onboarding Utilisateur Fluide</w:t>
      </w:r>
      <w:r>
        <w:rPr>
          <w:rFonts w:ascii="Calibri" w:hAnsi="Calibri"/>
          <w:color w:val="282828"/>
          <w:sz w:val="22"/>
        </w:rPr>
        <w:t xml:space="preserve"> :</w:t>
      </w:r>
    </w:p>
    <w:p>
      <w:pPr>
        <w:spacing w:before="40" w:after="60" w:line="276" w:lineRule="auto"/>
        <w:ind w:left="720" w:hanging="360"/>
      </w:pPr>
      <w:r>
        <w:rPr>
          <w:rFonts w:ascii="Calibri" w:hAnsi="Calibri"/>
          <w:b/>
          <w:color w:val="C5A059"/>
          <w:sz w:val="22"/>
        </w:rPr>
        <w:t xml:space="preserve">▪  </w:t>
      </w:r>
      <w:r>
        <w:rPr>
          <w:rFonts w:ascii="Calibri" w:hAnsi="Calibri"/>
          <w:color w:val="282828"/>
          <w:sz w:val="22"/>
        </w:rPr>
        <w:t>L'inscription doit immédiatement mener à l'ajout du premier véhicule par plaque d'immatriculation. L'affichage instantané des données de la voiture valide immédiatement la proposition de valeur.</w:t>
      </w:r>
    </w:p>
    <w:p>
      <w:pPr>
        <w:spacing w:before="40" w:after="60" w:line="276" w:lineRule="auto"/>
        <w:ind w:left="360" w:hanging="360"/>
      </w:pPr>
      <w:r>
        <w:rPr>
          <w:rFonts w:ascii="Calibri" w:hAnsi="Calibri"/>
          <w:b/>
          <w:color w:val="C5A059"/>
          <w:sz w:val="22"/>
        </w:rPr>
        <w:t xml:space="preserve">•  </w:t>
      </w:r>
      <w:r>
        <w:rPr>
          <w:rFonts w:ascii="Calibri" w:hAnsi="Calibri"/>
          <w:b/>
          <w:color w:val="282828"/>
          <w:sz w:val="22"/>
        </w:rPr>
        <w:t>Emailings d'Optimisation Mensuelle</w:t>
      </w:r>
      <w:r>
        <w:rPr>
          <w:rFonts w:ascii="Calibri" w:hAnsi="Calibri"/>
          <w:color w:val="282828"/>
          <w:sz w:val="22"/>
        </w:rPr>
        <w:t xml:space="preserve"> :</w:t>
      </w:r>
    </w:p>
    <w:p>
      <w:pPr>
        <w:spacing w:before="40" w:after="60" w:line="276" w:lineRule="auto"/>
        <w:ind w:left="720" w:hanging="360"/>
      </w:pPr>
      <w:r>
        <w:rPr>
          <w:rFonts w:ascii="Calibri" w:hAnsi="Calibri"/>
          <w:b/>
          <w:color w:val="C5A059"/>
          <w:sz w:val="22"/>
        </w:rPr>
        <w:t xml:space="preserve">▪  </w:t>
      </w:r>
      <w:r>
        <w:rPr>
          <w:rFonts w:ascii="Calibri" w:hAnsi="Calibri"/>
          <w:color w:val="282828"/>
          <w:sz w:val="22"/>
        </w:rPr>
        <w:t xml:space="preserve">Envoyer un rapport mensuel personnalisé : </w:t>
      </w:r>
      <w:r>
        <w:rPr>
          <w:rFonts w:ascii="Calibri" w:hAnsi="Calibri"/>
          <w:i/>
          <w:color w:val="282828"/>
          <w:sz w:val="22"/>
        </w:rPr>
        <w:t>"Ce mois-ci, votre TCO a baissé de 2% grâce à vos recharges en heures creuses. Votre score de santé est excellent. Pensez à planifier votre révision dans 3 200 km."</w:t>
      </w:r>
    </w:p>
    <w:p>
      <w:pPr>
        <w:spacing w:before="40" w:after="60" w:line="276" w:lineRule="auto"/>
        <w:ind w:left="360" w:hanging="360"/>
      </w:pPr>
      <w:r>
        <w:rPr>
          <w:rFonts w:ascii="Calibri" w:hAnsi="Calibri"/>
          <w:b/>
          <w:color w:val="C5A059"/>
          <w:sz w:val="22"/>
        </w:rPr>
        <w:t xml:space="preserve">•  </w:t>
      </w:r>
      <w:r>
        <w:rPr>
          <w:rFonts w:ascii="Calibri" w:hAnsi="Calibri"/>
          <w:b/>
          <w:color w:val="282828"/>
          <w:sz w:val="22"/>
        </w:rPr>
        <w:t>Support Client Intégré</w:t>
      </w:r>
      <w:r>
        <w:rPr>
          <w:rFonts w:ascii="Calibri" w:hAnsi="Calibri"/>
          <w:color w:val="282828"/>
          <w:sz w:val="22"/>
        </w:rPr>
        <w:t xml:space="preserve"> :</w:t>
      </w:r>
    </w:p>
    <w:p>
      <w:pPr>
        <w:spacing w:before="40" w:after="60" w:line="276" w:lineRule="auto"/>
        <w:ind w:left="720" w:hanging="360"/>
      </w:pPr>
      <w:r>
        <w:rPr>
          <w:rFonts w:ascii="Calibri" w:hAnsi="Calibri"/>
          <w:b/>
          <w:color w:val="C5A059"/>
          <w:sz w:val="22"/>
        </w:rPr>
        <w:t xml:space="preserve">▪  </w:t>
      </w:r>
      <w:r>
        <w:rPr>
          <w:rFonts w:ascii="Calibri" w:hAnsi="Calibri"/>
          <w:color w:val="282828"/>
          <w:sz w:val="22"/>
        </w:rPr>
        <w:t>Le chatbot intelligent présent sur l'application résout instantanément $80\%$ des interrogations courantes (FAQ, facturation, fonctionnement du TCO).</w:t>
      </w:r>
    </w:p>
    <w:p>
      <w:pPr>
        <w:spacing w:before="40" w:after="60" w:line="276" w:lineRule="auto"/>
        <w:ind w:left="720" w:hanging="360"/>
      </w:pPr>
      <w:r>
        <w:rPr>
          <w:rFonts w:ascii="Calibri" w:hAnsi="Calibri"/>
          <w:b/>
          <w:color w:val="C5A059"/>
          <w:sz w:val="22"/>
        </w:rPr>
        <w:t xml:space="preserve">▪  </w:t>
      </w:r>
      <w:r>
        <w:rPr>
          <w:rFonts w:ascii="Calibri" w:hAnsi="Calibri"/>
          <w:color w:val="282828"/>
          <w:sz w:val="22"/>
        </w:rPr>
        <w:t>Les $20\%$ restants sont transmis à un support client par email premium avec un engagement de réponse en moins de 12 heures.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