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line="276" w:lineRule="auto"/>
        <w:jc w:val="center"/>
      </w:pPr>
      <w:r>
        <w:rPr>
          <w:rFonts w:ascii="Georgia" w:hAnsi="Georgia"/>
          <w:b/>
          <w:color w:val="0A0E1A"/>
          <w:sz w:val="52"/>
        </w:rPr>
        <w:t>Spécifications Fonctionnelles &amp; Produit</w:t>
      </w:r>
    </w:p>
    <w:p>
      <w:pPr>
        <w:spacing w:before="0" w:after="480" w:line="276" w:lineRule="auto"/>
        <w:jc w:val="center"/>
      </w:pPr>
      <w:r>
        <w:rPr>
          <w:rFonts w:ascii="Calibri" w:hAnsi="Calibri"/>
          <w:i/>
          <w:color w:val="C5A059"/>
          <w:sz w:val="24"/>
        </w:rPr>
        <w:t>VeloceWealth · Instrument de Contrôle Financier Automobile</w:t>
      </w:r>
    </w:p>
    <w:p>
      <w:pPr>
        <w:spacing w:before="0" w:after="360" w:line="276" w:lineRule="auto"/>
        <w:jc w:val="center"/>
      </w:pPr>
      <w:r>
        <w:rPr>
          <w:color w:val="C5A059"/>
        </w:rPr>
        <w:t>——————————————————————————————————————————————————</w:t>
      </w:r>
    </w:p>
    <w:p>
      <w:pPr>
        <w:spacing w:before="360" w:after="160" w:line="276" w:lineRule="auto"/>
      </w:pPr>
      <w:r>
        <w:rPr>
          <w:rFonts w:ascii="Georgia" w:hAnsi="Georgia"/>
          <w:b/>
          <w:color w:val="0A0E1A"/>
          <w:sz w:val="40"/>
        </w:rPr>
        <w:t>Spécifications Produit · VeloceWealth</w:t>
      </w:r>
    </w:p>
    <w:p>
      <w:pPr>
        <w:spacing w:before="0" w:after="240" w:line="276" w:lineRule="auto"/>
      </w:pPr>
      <w:r>
        <w:rPr>
          <w:color w:val="C5A059"/>
          <w:sz w:val="16"/>
        </w:rPr>
        <w:t>――――――――――――――――――――――――――――――</w:t>
      </w:r>
    </w:p>
    <w:p>
      <w:pPr>
        <w:spacing w:before="120" w:after="160" w:line="276" w:lineRule="auto"/>
        <w:ind w:left="576"/>
      </w:pPr>
    </w:p>
    <w:tbl>
      <w:tblPr>
        <w:tblW w:type="auto" w:w="0"/>
        <w:tblLayout w:type="fixed"/>
        <w:tblLook w:firstColumn="1" w:firstRow="1" w:lastColumn="0" w:lastRow="0" w:noHBand="0" w:noVBand="1" w:val="04A0"/>
      </w:tblPr>
      <w:tblGrid>
        <w:gridCol w:w="8064"/>
      </w:tblGrid>
      <w:tr>
        <w:tc>
          <w:tcPr>
            <w:tcW w:type="dxa" w:w="9360"/>
            <w:shd w:fill="F7F7F9"/>
            <w:tcMar>
              <w:top w:w="80" w:type="dxa"/>
              <w:bottom w:w="80" w:type="dxa"/>
              <w:left w:w="120" w:type="dxa"/>
              <w:right w:w="120" w:type="dxa"/>
            </w:tcMar>
            <w:tcBorders>
              <w:left w:val="single" w:sz="36" w:space="0" w:color="C5A059"/>
              <w:top w:val="none"/>
              <w:bottom w:val="none"/>
              <w:right w:val="none"/>
            </w:tcBorders>
          </w:tcPr>
          <w:p>
            <w:pPr>
              <w:spacing w:before="40" w:after="40" w:line="276" w:lineRule="auto"/>
            </w:pPr>
            <w:r>
              <w:rPr>
                <w:rFonts w:ascii="Calibri" w:hAnsi="Calibri"/>
                <w:b/>
                <w:color w:val="0A0E1A"/>
                <w:sz w:val="21"/>
              </w:rPr>
              <w:t xml:space="preserve">ℹ️ </w:t>
            </w:r>
            <w:r>
              <w:rPr>
                <w:rFonts w:ascii="Calibri" w:hAnsi="Calibri"/>
                <w:b/>
                <w:i/>
                <w:color w:val="282828"/>
                <w:sz w:val="21"/>
              </w:rPr>
              <w:t>Date de rédaction</w:t>
            </w:r>
            <w:r>
              <w:rPr>
                <w:rFonts w:ascii="Calibri" w:hAnsi="Calibri"/>
                <w:i/>
                <w:color w:val="282828"/>
                <w:sz w:val="21"/>
              </w:rPr>
              <w:t xml:space="preserve"> : 21 Mai 2026</w:t>
            </w:r>
          </w:p>
        </w:tc>
      </w:tr>
    </w:tbl>
    <w:p>
      <w:pPr>
        <w:spacing w:before="120" w:after="160" w:line="276" w:lineRule="auto"/>
        <w:ind w:left="576"/>
      </w:pPr>
    </w:p>
    <w:tbl>
      <w:tblPr>
        <w:tblW w:type="auto" w:w="0"/>
        <w:tblLayout w:type="fixed"/>
        <w:tblLook w:firstColumn="1" w:firstRow="1" w:lastColumn="0" w:lastRow="0" w:noHBand="0" w:noVBand="1" w:val="04A0"/>
      </w:tblPr>
      <w:tblGrid>
        <w:gridCol w:w="8064"/>
      </w:tblGrid>
      <w:tr>
        <w:tc>
          <w:tcPr>
            <w:tcW w:type="dxa" w:w="9360"/>
            <w:shd w:fill="F7F7F9"/>
            <w:tcMar>
              <w:top w:w="80" w:type="dxa"/>
              <w:bottom w:w="80" w:type="dxa"/>
              <w:left w:w="120" w:type="dxa"/>
              <w:right w:w="120" w:type="dxa"/>
            </w:tcMar>
            <w:tcBorders>
              <w:left w:val="single" w:sz="36" w:space="0" w:color="C5A059"/>
              <w:top w:val="none"/>
              <w:bottom w:val="none"/>
              <w:right w:val="none"/>
            </w:tcBorders>
          </w:tcPr>
          <w:p>
            <w:pPr>
              <w:spacing w:before="40" w:after="40" w:line="276" w:lineRule="auto"/>
            </w:pPr>
            <w:r>
              <w:rPr>
                <w:rFonts w:ascii="Calibri" w:hAnsi="Calibri"/>
                <w:b/>
                <w:color w:val="0A0E1A"/>
                <w:sz w:val="21"/>
              </w:rPr>
              <w:t xml:space="preserve">ℹ️ </w:t>
            </w:r>
            <w:r>
              <w:rPr>
                <w:rFonts w:ascii="Calibri" w:hAnsi="Calibri"/>
                <w:b/>
                <w:i/>
                <w:color w:val="282828"/>
                <w:sz w:val="21"/>
              </w:rPr>
              <w:t>Auteur</w:t>
            </w:r>
            <w:r>
              <w:rPr>
                <w:rFonts w:ascii="Calibri" w:hAnsi="Calibri"/>
                <w:i/>
                <w:color w:val="282828"/>
                <w:sz w:val="21"/>
              </w:rPr>
              <w:t xml:space="preserve"> : Antigravity (Architecte Fintech &amp; Lead Frontend)</w:t>
            </w:r>
          </w:p>
        </w:tc>
      </w:tr>
    </w:tbl>
    <w:p>
      <w:pPr>
        <w:spacing w:before="120" w:after="160" w:line="276" w:lineRule="auto"/>
        <w:ind w:left="576"/>
      </w:pPr>
    </w:p>
    <w:tbl>
      <w:tblPr>
        <w:tblW w:type="auto" w:w="0"/>
        <w:tblLayout w:type="fixed"/>
        <w:tblLook w:firstColumn="1" w:firstRow="1" w:lastColumn="0" w:lastRow="0" w:noHBand="0" w:noVBand="1" w:val="04A0"/>
      </w:tblPr>
      <w:tblGrid>
        <w:gridCol w:w="8064"/>
      </w:tblGrid>
      <w:tr>
        <w:tc>
          <w:tcPr>
            <w:tcW w:type="dxa" w:w="9360"/>
            <w:shd w:fill="F7F7F9"/>
            <w:tcMar>
              <w:top w:w="80" w:type="dxa"/>
              <w:bottom w:w="80" w:type="dxa"/>
              <w:left w:w="120" w:type="dxa"/>
              <w:right w:w="120" w:type="dxa"/>
            </w:tcMar>
            <w:tcBorders>
              <w:left w:val="single" w:sz="36" w:space="0" w:color="C5A059"/>
              <w:top w:val="none"/>
              <w:bottom w:val="none"/>
              <w:right w:val="none"/>
            </w:tcBorders>
          </w:tcPr>
          <w:p>
            <w:pPr>
              <w:spacing w:before="40" w:after="40" w:line="276" w:lineRule="auto"/>
            </w:pPr>
            <w:r>
              <w:rPr>
                <w:rFonts w:ascii="Calibri" w:hAnsi="Calibri"/>
                <w:b/>
                <w:color w:val="0A0E1A"/>
                <w:sz w:val="21"/>
              </w:rPr>
              <w:t xml:space="preserve">ℹ️ </w:t>
            </w:r>
            <w:r>
              <w:rPr>
                <w:rFonts w:ascii="Calibri" w:hAnsi="Calibri"/>
                <w:b/>
                <w:i/>
                <w:color w:val="282828"/>
                <w:sz w:val="21"/>
              </w:rPr>
              <w:t>Statut</w:t>
            </w:r>
            <w:r>
              <w:rPr>
                <w:rFonts w:ascii="Calibri" w:hAnsi="Calibri"/>
                <w:i/>
                <w:color w:val="282828"/>
                <w:sz w:val="21"/>
              </w:rPr>
              <w:t xml:space="preserve"> : Version 1.0 (Prêt pour Revue de Lancement)</w:t>
            </w:r>
          </w:p>
        </w:tc>
      </w:tr>
    </w:tbl>
    <w:p>
      <w:pPr>
        <w:spacing w:before="80" w:after="160" w:line="276" w:lineRule="auto"/>
      </w:pPr>
      <w:r>
        <w:rPr>
          <w:rFonts w:ascii="Calibri" w:hAnsi="Calibri"/>
          <w:color w:val="282828"/>
          <w:sz w:val="22"/>
        </w:rPr>
        <w:t>---</w:t>
      </w:r>
    </w:p>
    <w:p>
      <w:pPr>
        <w:spacing w:before="320" w:after="120" w:line="276" w:lineRule="auto"/>
      </w:pPr>
      <w:r>
        <w:rPr>
          <w:rFonts w:ascii="Georgia" w:hAnsi="Georgia"/>
          <w:b/>
          <w:color w:val="0A0E1A"/>
          <w:sz w:val="30"/>
        </w:rPr>
        <w:t>1. Vision &amp; Positionnement Stratégique</w:t>
      </w:r>
    </w:p>
    <w:p>
      <w:pPr>
        <w:spacing w:before="80" w:after="160" w:line="276" w:lineRule="auto"/>
      </w:pPr>
      <w:r>
        <w:rPr>
          <w:rFonts w:ascii="Calibri" w:hAnsi="Calibri"/>
          <w:b/>
          <w:color w:val="282828"/>
          <w:sz w:val="22"/>
        </w:rPr>
        <w:t>VeloceWealth</w:t>
      </w:r>
      <w:r>
        <w:rPr>
          <w:rFonts w:ascii="Calibri" w:hAnsi="Calibri"/>
          <w:color w:val="282828"/>
          <w:sz w:val="22"/>
        </w:rPr>
        <w:t xml:space="preserve"> (anciennement AutoSmart Pro) est une plateforme SaaS Fintech haut de gamme conçue pour transformer la gestion automobile. Contrairement aux outils de suivi basiques, VeloceWealth aborde le véhicule non pas comme un simple centre de coût, mais comme un </w:t>
      </w:r>
      <w:r>
        <w:rPr>
          <w:rFonts w:ascii="Calibri" w:hAnsi="Calibri"/>
          <w:b/>
          <w:color w:val="282828"/>
          <w:sz w:val="22"/>
        </w:rPr>
        <w:t>actif financier optimisé</w:t>
      </w:r>
      <w:r>
        <w:rPr>
          <w:rFonts w:ascii="Calibri" w:hAnsi="Calibri"/>
          <w:color w:val="282828"/>
          <w:sz w:val="22"/>
        </w:rPr>
        <w:t>.</w:t>
      </w:r>
    </w:p>
    <w:p>
      <w:pPr>
        <w:spacing w:before="240" w:after="80" w:line="276" w:lineRule="auto"/>
      </w:pPr>
      <w:r>
        <w:rPr>
          <w:rFonts w:ascii="Calibri" w:hAnsi="Calibri"/>
          <w:b/>
          <w:color w:val="C5A059"/>
          <w:sz w:val="25"/>
        </w:rPr>
        <w:t>Mission</w:t>
      </w:r>
    </w:p>
    <w:p>
      <w:pPr>
        <w:spacing w:before="80" w:after="160" w:line="276" w:lineRule="auto"/>
      </w:pPr>
      <w:r>
        <w:rPr>
          <w:rFonts w:ascii="Calibri" w:hAnsi="Calibri"/>
          <w:color w:val="282828"/>
          <w:sz w:val="22"/>
        </w:rPr>
        <w:t>Fournir aux collectionneurs, propriétaires de véhicules premium et gestionnaires de flottes un instrument de contrôle absolu permettant de minimiser le coût total de possession (TCO) et de maximiser la valeur résiduelle de revente grâce à la certification et à la maintenance prédictive.</w:t>
      </w:r>
    </w:p>
    <w:p>
      <w:pPr>
        <w:spacing w:before="240" w:after="80" w:line="276" w:lineRule="auto"/>
      </w:pPr>
      <w:r>
        <w:rPr>
          <w:rFonts w:ascii="Calibri" w:hAnsi="Calibri"/>
          <w:b/>
          <w:color w:val="C5A059"/>
          <w:sz w:val="25"/>
        </w:rPr>
        <w:t>Identité Visuelle &amp; Artistique</w:t>
      </w:r>
    </w:p>
    <w:p>
      <w:pPr>
        <w:spacing w:before="40" w:after="60" w:line="276" w:lineRule="auto"/>
        <w:ind w:left="360" w:hanging="360"/>
      </w:pPr>
      <w:r>
        <w:rPr>
          <w:rFonts w:ascii="Calibri" w:hAnsi="Calibri"/>
          <w:b/>
          <w:color w:val="C5A059"/>
          <w:sz w:val="22"/>
        </w:rPr>
        <w:t xml:space="preserve">•  </w:t>
      </w:r>
      <w:r>
        <w:rPr>
          <w:rFonts w:ascii="Calibri" w:hAnsi="Calibri"/>
          <w:b/>
          <w:color w:val="282828"/>
          <w:sz w:val="22"/>
        </w:rPr>
        <w:t>Esthétique</w:t>
      </w:r>
      <w:r>
        <w:rPr>
          <w:rFonts w:ascii="Calibri" w:hAnsi="Calibri"/>
          <w:color w:val="282828"/>
          <w:sz w:val="22"/>
        </w:rPr>
        <w:t xml:space="preserve"> : Interface minimaliste, harmonieuse et sombre (Noir Obsidienne/Anthracite), inspirée d'un cockpit d'ingénierie et d'un terminal de trading.</w:t>
      </w:r>
    </w:p>
    <w:p>
      <w:pPr>
        <w:spacing w:before="40" w:after="60" w:line="276" w:lineRule="auto"/>
        <w:ind w:left="360" w:hanging="360"/>
      </w:pPr>
      <w:r>
        <w:rPr>
          <w:rFonts w:ascii="Calibri" w:hAnsi="Calibri"/>
          <w:b/>
          <w:color w:val="C5A059"/>
          <w:sz w:val="22"/>
        </w:rPr>
        <w:t xml:space="preserve">•  </w:t>
      </w:r>
      <w:r>
        <w:rPr>
          <w:rFonts w:ascii="Calibri" w:hAnsi="Calibri"/>
          <w:b/>
          <w:color w:val="282828"/>
          <w:sz w:val="22"/>
        </w:rPr>
        <w:t>Typographie</w:t>
      </w:r>
      <w:r>
        <w:rPr>
          <w:rFonts w:ascii="Calibri" w:hAnsi="Calibri"/>
          <w:color w:val="282828"/>
          <w:sz w:val="22"/>
        </w:rPr>
        <w:t xml:space="preserve"> : Polices modernes et affirmées (e.g. </w:t>
      </w:r>
      <w:r>
        <w:rPr>
          <w:rFonts w:ascii="Calibri" w:hAnsi="Calibri"/>
          <w:i/>
          <w:color w:val="282828"/>
          <w:sz w:val="22"/>
        </w:rPr>
        <w:t>Outfit</w:t>
      </w:r>
      <w:r>
        <w:rPr>
          <w:rFonts w:ascii="Calibri" w:hAnsi="Calibri"/>
          <w:color w:val="282828"/>
          <w:sz w:val="22"/>
        </w:rPr>
        <w:t xml:space="preserve"> pour les titres structurés, </w:t>
      </w:r>
      <w:r>
        <w:rPr>
          <w:rFonts w:ascii="Calibri" w:hAnsi="Calibri"/>
          <w:i/>
          <w:color w:val="282828"/>
          <w:sz w:val="22"/>
        </w:rPr>
        <w:t>JetBrains Mono</w:t>
      </w:r>
      <w:r>
        <w:rPr>
          <w:rFonts w:ascii="Calibri" w:hAnsi="Calibri"/>
          <w:color w:val="282828"/>
          <w:sz w:val="22"/>
        </w:rPr>
        <w:t xml:space="preserve"> ou </w:t>
      </w:r>
      <w:r>
        <w:rPr>
          <w:rFonts w:ascii="Calibri" w:hAnsi="Calibri"/>
          <w:i/>
          <w:color w:val="282828"/>
          <w:sz w:val="22"/>
        </w:rPr>
        <w:t>IBM Plex Mono</w:t>
      </w:r>
      <w:r>
        <w:rPr>
          <w:rFonts w:ascii="Calibri" w:hAnsi="Calibri"/>
          <w:color w:val="282828"/>
          <w:sz w:val="22"/>
        </w:rPr>
        <w:t xml:space="preserve"> pour la rigueur des données financières).</w:t>
      </w:r>
    </w:p>
    <w:p>
      <w:pPr>
        <w:spacing w:before="40" w:after="60" w:line="276" w:lineRule="auto"/>
        <w:ind w:left="360" w:hanging="360"/>
      </w:pPr>
      <w:r>
        <w:rPr>
          <w:rFonts w:ascii="Calibri" w:hAnsi="Calibri"/>
          <w:b/>
          <w:color w:val="C5A059"/>
          <w:sz w:val="22"/>
        </w:rPr>
        <w:t xml:space="preserve">•  </w:t>
      </w:r>
      <w:r>
        <w:rPr>
          <w:rFonts w:ascii="Calibri" w:hAnsi="Calibri"/>
          <w:b/>
          <w:color w:val="282828"/>
          <w:sz w:val="22"/>
        </w:rPr>
        <w:t>Finition</w:t>
      </w:r>
      <w:r>
        <w:rPr>
          <w:rFonts w:ascii="Calibri" w:hAnsi="Calibri"/>
          <w:color w:val="282828"/>
          <w:sz w:val="22"/>
        </w:rPr>
        <w:t xml:space="preserve"> : Texture papier subtile (bruit CSS </w:t>
      </w:r>
      <w:r>
        <w:rPr>
          <w:rFonts w:ascii="Calibri" w:hAnsi="Calibri"/>
          <w:color w:val="282828"/>
          <w:sz w:val="22"/>
        </w:rPr>
        <w:t>0.04</w:t>
      </w:r>
      <w:r>
        <w:rPr>
          <w:rFonts w:ascii="Calibri" w:hAnsi="Calibri"/>
          <w:color w:val="282828"/>
          <w:sz w:val="22"/>
        </w:rPr>
        <w:t xml:space="preserve">), conteneurs </w:t>
      </w:r>
      <w:r>
        <w:rPr>
          <w:rFonts w:ascii="Calibri" w:hAnsi="Calibri"/>
          <w:i/>
          <w:color w:val="282828"/>
          <w:sz w:val="22"/>
        </w:rPr>
        <w:t>glassmorphic</w:t>
      </w:r>
      <w:r>
        <w:rPr>
          <w:rFonts w:ascii="Calibri" w:hAnsi="Calibri"/>
          <w:color w:val="282828"/>
          <w:sz w:val="22"/>
        </w:rPr>
        <w:t xml:space="preserve"> avec flous d'arrière-plan, et micro-animations fluides (GSAP / Framer Motion).</w:t>
      </w:r>
    </w:p>
    <w:p>
      <w:pPr>
        <w:spacing w:before="80" w:after="160" w:line="276" w:lineRule="auto"/>
      </w:pPr>
      <w:r>
        <w:rPr>
          <w:rFonts w:ascii="Calibri" w:hAnsi="Calibri"/>
          <w:color w:val="282828"/>
          <w:sz w:val="22"/>
        </w:rPr>
        <w:t>---</w:t>
      </w:r>
    </w:p>
    <w:p>
      <w:pPr>
        <w:spacing w:before="320" w:after="120" w:line="276" w:lineRule="auto"/>
      </w:pPr>
      <w:r>
        <w:rPr>
          <w:rFonts w:ascii="Georgia" w:hAnsi="Georgia"/>
          <w:b/>
          <w:color w:val="0A0E1A"/>
          <w:sz w:val="30"/>
        </w:rPr>
        <w:t>2. Personas &amp; Utilisateurs Cibles</w:t>
      </w:r>
    </w:p>
    <w:p>
      <w:pPr>
        <w:spacing w:before="40" w:after="60" w:line="276" w:lineRule="auto"/>
        <w:ind w:left="360" w:hanging="360"/>
      </w:pPr>
      <w:r>
        <w:rPr>
          <w:rFonts w:ascii="Calibri" w:hAnsi="Calibri"/>
          <w:b/>
          <w:color w:val="C5A059"/>
          <w:sz w:val="22"/>
        </w:rPr>
        <w:t xml:space="preserve">1.  </w:t>
      </w:r>
      <w:r>
        <w:rPr>
          <w:rFonts w:ascii="Calibri" w:hAnsi="Calibri"/>
          <w:b/>
          <w:color w:val="282828"/>
          <w:sz w:val="22"/>
        </w:rPr>
        <w:t>L'Investisseur Automobile / Collectionneur</w:t>
      </w:r>
      <w:r>
        <w:rPr>
          <w:rFonts w:ascii="Calibri" w:hAnsi="Calibri"/>
          <w:color w:val="282828"/>
          <w:sz w:val="22"/>
        </w:rPr>
        <w:t xml:space="preserve"> : Possède un ou plusieurs véhicules haut de gamme. Sa priorité absolue est le maintien de la valeur résiduelle à travers un historique d'entretien inaltérable (Carnet Certifié).</w:t>
      </w:r>
    </w:p>
    <w:p>
      <w:pPr>
        <w:spacing w:before="40" w:after="60" w:line="276" w:lineRule="auto"/>
        <w:ind w:left="360" w:hanging="360"/>
      </w:pPr>
      <w:r>
        <w:rPr>
          <w:rFonts w:ascii="Calibri" w:hAnsi="Calibri"/>
          <w:b/>
          <w:color w:val="C5A059"/>
          <w:sz w:val="22"/>
        </w:rPr>
        <w:t xml:space="preserve">2.  </w:t>
      </w:r>
      <w:r>
        <w:rPr>
          <w:rFonts w:ascii="Calibri" w:hAnsi="Calibri"/>
          <w:b/>
          <w:color w:val="282828"/>
          <w:sz w:val="22"/>
        </w:rPr>
        <w:t>Le Conducteur Premium Éco-Responsable</w:t>
      </w:r>
      <w:r>
        <w:rPr>
          <w:rFonts w:ascii="Calibri" w:hAnsi="Calibri"/>
          <w:color w:val="282828"/>
          <w:sz w:val="22"/>
        </w:rPr>
        <w:t xml:space="preserve"> : Propriétaire d'un véhicule hybride ou électrique. Il cherche à optimiser son mix énergétique, à profiter des heures creuses de recharge, et à suivre précisément sa transition énergétique.</w:t>
      </w:r>
    </w:p>
    <w:p>
      <w:pPr>
        <w:spacing w:before="40" w:after="60" w:line="276" w:lineRule="auto"/>
        <w:ind w:left="360" w:hanging="360"/>
      </w:pPr>
      <w:r>
        <w:rPr>
          <w:rFonts w:ascii="Calibri" w:hAnsi="Calibri"/>
          <w:b/>
          <w:color w:val="C5A059"/>
          <w:sz w:val="22"/>
        </w:rPr>
        <w:t xml:space="preserve">3.  </w:t>
      </w:r>
      <w:r>
        <w:rPr>
          <w:rFonts w:ascii="Calibri" w:hAnsi="Calibri"/>
          <w:b/>
          <w:color w:val="282828"/>
          <w:sz w:val="22"/>
        </w:rPr>
        <w:t>Le Gestionnaire de Petite Flotte (B2B)</w:t>
      </w:r>
      <w:r>
        <w:rPr>
          <w:rFonts w:ascii="Calibri" w:hAnsi="Calibri"/>
          <w:color w:val="282828"/>
          <w:sz w:val="22"/>
        </w:rPr>
        <w:t xml:space="preserve"> : A besoin d'une vision globale centralisée, d'exports fiscaux simplifiés (régime des frais réels), et d'une prise de rendez-vous fluide avec un réseau de garages partenaires.</w:t>
      </w:r>
    </w:p>
    <w:p>
      <w:pPr>
        <w:spacing w:before="80" w:after="160" w:line="276" w:lineRule="auto"/>
      </w:pPr>
      <w:r>
        <w:rPr>
          <w:rFonts w:ascii="Calibri" w:hAnsi="Calibri"/>
          <w:color w:val="282828"/>
          <w:sz w:val="22"/>
        </w:rPr>
        <w:t>---</w:t>
      </w:r>
    </w:p>
    <w:p>
      <w:pPr>
        <w:spacing w:before="320" w:after="120" w:line="276" w:lineRule="auto"/>
      </w:pPr>
      <w:r>
        <w:rPr>
          <w:rFonts w:ascii="Georgia" w:hAnsi="Georgia"/>
          <w:b/>
          <w:color w:val="0A0E1A"/>
          <w:sz w:val="30"/>
        </w:rPr>
        <w:t>3. Architecture Fonctionnelle du Produit</w:t>
      </w:r>
    </w:p>
    <w:p>
      <w:pPr>
        <w:spacing w:before="80" w:after="160" w:line="276" w:lineRule="auto"/>
      </w:pPr>
      <w:r>
        <w:rPr>
          <w:rFonts w:ascii="Calibri" w:hAnsi="Calibri"/>
          <w:color w:val="282828"/>
          <w:sz w:val="22"/>
        </w:rPr>
        <w:t>Le produit s'articule autour de six piliers technologiques majeurs :</w:t>
      </w:r>
    </w:p>
    <w:p>
      <w:pPr>
        <w:spacing w:before="120" w:after="240" w:line="276" w:lineRule="auto"/>
        <w:ind w:left="720"/>
      </w:pPr>
    </w:p>
    <w:tbl>
      <w:tblPr>
        <w:tblW w:type="auto" w:w="0"/>
        <w:tblLayout w:type="fixed"/>
        <w:tblLook w:firstColumn="1" w:firstRow="1" w:lastColumn="0" w:lastRow="0" w:noHBand="0" w:noVBand="1" w:val="04A0"/>
      </w:tblPr>
      <w:tblGrid>
        <w:gridCol w:w="7920"/>
      </w:tblGrid>
      <w:tr>
        <w:tc>
          <w:tcPr>
            <w:tcW w:type="dxa" w:w="9360"/>
            <w:shd w:fill="0A0E1A"/>
            <w:tcMar>
              <w:top w:w="140" w:type="dxa"/>
              <w:bottom w:w="140" w:type="dxa"/>
              <w:left w:w="200" w:type="dxa"/>
              <w:right w:w="200" w:type="dxa"/>
            </w:tcMar>
            <w:tcBorders>
              <w:left w:val="single" w:sz="36" w:space="0" w:color="C5A059"/>
              <w:top w:val="none"/>
              <w:bottom w:val="none"/>
              <w:right w:val="none"/>
            </w:tcBorders>
          </w:tcPr>
          <w:p>
            <w:pPr>
              <w:spacing w:before="80" w:after="80" w:line="276" w:lineRule="auto"/>
            </w:pPr>
            <w:r>
              <w:rPr>
                <w:rFonts w:ascii="Calibri" w:hAnsi="Calibri"/>
                <w:b/>
                <w:color w:val="C5A059"/>
                <w:sz w:val="22"/>
              </w:rPr>
              <w:t>📊 SCHÉMA STRATÉGIQUE &amp; PROTOCOLE</w:t>
              <w:br/>
            </w:r>
            <w:r>
              <w:rPr>
                <w:rFonts w:ascii="Courier New" w:hAnsi="Courier New"/>
                <w:color w:val="FDFCF8"/>
                <w:sz w:val="19"/>
              </w:rPr>
              <w:t>AUtilisateur VeloceWealth  ➔  BSaisie Assistée OCR &amp; Plates</w:t>
              <w:br/>
              <w:t>A  ➔  CCalculateur TCO Financier</w:t>
              <w:br/>
              <w:t>A  ➔  DCarnet Certifié Blockchain-like</w:t>
              <w:br/>
              <w:t>A  ➔  EIntelligence Prédictive PHM</w:t>
              <w:br/>
              <w:t>A  ➔  FCartographie &amp; Réseau Mapbox</w:t>
              <w:br/>
              <w:t>A  ➔  GAbonnement Premium Stripe</w:t>
            </w:r>
          </w:p>
        </w:tc>
      </w:tr>
    </w:tbl>
    <w:p>
      <w:pPr>
        <w:spacing w:before="240" w:after="80" w:line="276" w:lineRule="auto"/>
      </w:pPr>
      <w:r>
        <w:rPr>
          <w:rFonts w:ascii="Calibri" w:hAnsi="Calibri"/>
          <w:b/>
          <w:color w:val="C5A059"/>
          <w:sz w:val="25"/>
        </w:rPr>
        <w:t>3.1. Saisie Ultra-Rapide &amp; Automatisée</w:t>
      </w:r>
    </w:p>
    <w:p>
      <w:pPr>
        <w:spacing w:before="40" w:after="60" w:line="276" w:lineRule="auto"/>
        <w:ind w:left="360" w:hanging="360"/>
      </w:pPr>
      <w:r>
        <w:rPr>
          <w:rFonts w:ascii="Calibri" w:hAnsi="Calibri"/>
          <w:b/>
          <w:color w:val="C5A059"/>
          <w:sz w:val="22"/>
        </w:rPr>
        <w:t xml:space="preserve">•  </w:t>
      </w:r>
      <w:r>
        <w:rPr>
          <w:rFonts w:ascii="Calibri" w:hAnsi="Calibri"/>
          <w:b/>
          <w:color w:val="282828"/>
          <w:sz w:val="22"/>
        </w:rPr>
        <w:t>Lookup Immatriculation &amp; VIN Cascade</w:t>
      </w:r>
      <w:r>
        <w:rPr>
          <w:rFonts w:ascii="Calibri" w:hAnsi="Calibri"/>
          <w:color w:val="282828"/>
          <w:sz w:val="22"/>
        </w:rPr>
        <w:t xml:space="preserve"> :</w:t>
      </w:r>
    </w:p>
    <w:p>
      <w:pPr>
        <w:spacing w:before="40" w:after="60" w:line="276" w:lineRule="auto"/>
        <w:ind w:left="720" w:hanging="360"/>
      </w:pPr>
      <w:r>
        <w:rPr>
          <w:rFonts w:ascii="Calibri" w:hAnsi="Calibri"/>
          <w:b/>
          <w:color w:val="C5A059"/>
          <w:sz w:val="22"/>
        </w:rPr>
        <w:t xml:space="preserve">▪  </w:t>
      </w:r>
      <w:r>
        <w:rPr>
          <w:rFonts w:ascii="Calibri" w:hAnsi="Calibri"/>
          <w:color w:val="282828"/>
          <w:sz w:val="22"/>
        </w:rPr>
        <w:t>Cascade : Cache local Redis $\rightarrow$ API SIV (France) ou DVLA (UK) $\rightarrow$ API NHTSA (USA) en fallback $\rightarrow$ Saisie manuelle en dernier recours.</w:t>
      </w:r>
    </w:p>
    <w:p>
      <w:pPr>
        <w:spacing w:before="40" w:after="60" w:line="276" w:lineRule="auto"/>
        <w:ind w:left="720" w:hanging="360"/>
      </w:pPr>
      <w:r>
        <w:rPr>
          <w:rFonts w:ascii="Calibri" w:hAnsi="Calibri"/>
          <w:b/>
          <w:color w:val="C5A059"/>
          <w:sz w:val="22"/>
        </w:rPr>
        <w:t xml:space="preserve">▪  </w:t>
      </w:r>
      <w:r>
        <w:rPr>
          <w:rFonts w:ascii="Calibri" w:hAnsi="Calibri"/>
          <w:color w:val="282828"/>
          <w:sz w:val="22"/>
        </w:rPr>
        <w:t xml:space="preserve">RGPD </w:t>
      </w:r>
      <w:r>
        <w:rPr>
          <w:rFonts w:ascii="Calibri" w:hAnsi="Calibri"/>
          <w:i/>
          <w:color w:val="282828"/>
          <w:sz w:val="22"/>
        </w:rPr>
        <w:t>by design</w:t>
      </w:r>
      <w:r>
        <w:rPr>
          <w:rFonts w:ascii="Calibri" w:hAnsi="Calibri"/>
          <w:color w:val="282828"/>
          <w:sz w:val="22"/>
        </w:rPr>
        <w:t xml:space="preserve"> : Seules les données techniques (marque, modèle, cylindrée, motorisation, couleur, année, VIN) sont collectées. Aucune donnée nominative (nom du titulaire, adresse) n'est jamais extraite ou stockée.</w:t>
      </w:r>
    </w:p>
    <w:p>
      <w:pPr>
        <w:spacing w:before="40" w:after="60" w:line="276" w:lineRule="auto"/>
        <w:ind w:left="360" w:hanging="360"/>
      </w:pPr>
      <w:r>
        <w:rPr>
          <w:rFonts w:ascii="Calibri" w:hAnsi="Calibri"/>
          <w:b/>
          <w:color w:val="C5A059"/>
          <w:sz w:val="22"/>
        </w:rPr>
        <w:t xml:space="preserve">•  </w:t>
      </w:r>
      <w:r>
        <w:rPr>
          <w:rFonts w:ascii="Calibri" w:hAnsi="Calibri"/>
          <w:b/>
          <w:color w:val="282828"/>
          <w:sz w:val="22"/>
        </w:rPr>
        <w:t>Numérisation de documents (OCR)</w:t>
      </w:r>
      <w:r>
        <w:rPr>
          <w:rFonts w:ascii="Calibri" w:hAnsi="Calibri"/>
          <w:color w:val="282828"/>
          <w:sz w:val="22"/>
        </w:rPr>
        <w:t xml:space="preserve"> :</w:t>
      </w:r>
    </w:p>
    <w:p>
      <w:pPr>
        <w:spacing w:before="40" w:after="60" w:line="276" w:lineRule="auto"/>
        <w:ind w:left="720" w:hanging="360"/>
      </w:pPr>
      <w:r>
        <w:rPr>
          <w:rFonts w:ascii="Calibri" w:hAnsi="Calibri"/>
          <w:b/>
          <w:color w:val="C5A059"/>
          <w:sz w:val="22"/>
        </w:rPr>
        <w:t xml:space="preserve">▪  </w:t>
      </w:r>
      <w:r>
        <w:rPr>
          <w:rFonts w:ascii="Calibri" w:hAnsi="Calibri"/>
          <w:color w:val="282828"/>
          <w:sz w:val="22"/>
        </w:rPr>
        <w:t xml:space="preserve">Intégration de </w:t>
      </w:r>
      <w:r>
        <w:rPr>
          <w:rFonts w:ascii="Calibri" w:hAnsi="Calibri"/>
          <w:b/>
          <w:color w:val="282828"/>
          <w:sz w:val="22"/>
        </w:rPr>
        <w:t>Google Cloud Vision API</w:t>
      </w:r>
      <w:r>
        <w:rPr>
          <w:rFonts w:ascii="Calibri" w:hAnsi="Calibri"/>
          <w:color w:val="282828"/>
          <w:sz w:val="22"/>
        </w:rPr>
        <w:t>.</w:t>
      </w:r>
    </w:p>
    <w:p>
      <w:pPr>
        <w:spacing w:before="40" w:after="60" w:line="276" w:lineRule="auto"/>
        <w:ind w:left="720" w:hanging="360"/>
      </w:pPr>
      <w:r>
        <w:rPr>
          <w:rFonts w:ascii="Calibri" w:hAnsi="Calibri"/>
          <w:b/>
          <w:color w:val="C5A059"/>
          <w:sz w:val="22"/>
        </w:rPr>
        <w:t xml:space="preserve">▪  </w:t>
      </w:r>
      <w:r>
        <w:rPr>
          <w:rFonts w:ascii="Calibri" w:hAnsi="Calibri"/>
          <w:color w:val="282828"/>
          <w:sz w:val="22"/>
        </w:rPr>
        <w:t>Analyse des tickets de carburant/recharges et des factures d'entretien A4.</w:t>
      </w:r>
    </w:p>
    <w:p>
      <w:pPr>
        <w:spacing w:before="40" w:after="60" w:line="276" w:lineRule="auto"/>
        <w:ind w:left="720" w:hanging="360"/>
      </w:pPr>
      <w:r>
        <w:rPr>
          <w:rFonts w:ascii="Calibri" w:hAnsi="Calibri"/>
          <w:b/>
          <w:color w:val="C5A059"/>
          <w:sz w:val="22"/>
        </w:rPr>
        <w:t xml:space="preserve">▪  </w:t>
      </w:r>
      <w:r>
        <w:rPr>
          <w:rFonts w:ascii="Calibri" w:hAnsi="Calibri"/>
          <w:color w:val="282828"/>
          <w:sz w:val="22"/>
        </w:rPr>
        <w:t>Extraction automatique : montant TTC, volume/énergie, nom de l'établissement, date, kilométrage inscrit.</w:t>
      </w:r>
    </w:p>
    <w:p>
      <w:pPr>
        <w:spacing w:before="40" w:after="60" w:line="276" w:lineRule="auto"/>
        <w:ind w:left="720" w:hanging="360"/>
      </w:pPr>
      <w:r>
        <w:rPr>
          <w:rFonts w:ascii="Calibri" w:hAnsi="Calibri"/>
          <w:b/>
          <w:color w:val="C5A059"/>
          <w:sz w:val="22"/>
        </w:rPr>
        <w:t xml:space="preserve">▪  </w:t>
      </w:r>
      <w:r>
        <w:rPr>
          <w:rFonts w:ascii="Calibri" w:hAnsi="Calibri"/>
          <w:color w:val="282828"/>
          <w:sz w:val="22"/>
        </w:rPr>
        <w:t>Pré-remplissage des formulaires pour éliminer la friction de saisie.</w:t>
      </w:r>
    </w:p>
    <w:p>
      <w:pPr>
        <w:spacing w:before="240" w:after="80" w:line="276" w:lineRule="auto"/>
      </w:pPr>
      <w:r>
        <w:rPr>
          <w:rFonts w:ascii="Calibri" w:hAnsi="Calibri"/>
          <w:b/>
          <w:color w:val="C5A059"/>
          <w:sz w:val="25"/>
        </w:rPr>
        <w:t>3.2. Moteur de Calcul TCO (Total Cost of Ownership)</w:t>
      </w:r>
    </w:p>
    <w:p>
      <w:pPr>
        <w:spacing w:before="80" w:after="160" w:line="276" w:lineRule="auto"/>
      </w:pPr>
      <w:r>
        <w:rPr>
          <w:rFonts w:ascii="Calibri" w:hAnsi="Calibri"/>
          <w:color w:val="282828"/>
          <w:sz w:val="22"/>
        </w:rPr>
        <w:t>Calcule en temps réel le coût d'usage exact de chaque véhicule.</w:t>
      </w:r>
    </w:p>
    <w:p>
      <w:pPr>
        <w:spacing w:before="40" w:after="60" w:line="276" w:lineRule="auto"/>
        <w:ind w:left="360" w:hanging="360"/>
      </w:pPr>
      <w:r>
        <w:rPr>
          <w:rFonts w:ascii="Calibri" w:hAnsi="Calibri"/>
          <w:b/>
          <w:color w:val="C5A059"/>
          <w:sz w:val="22"/>
        </w:rPr>
        <w:t xml:space="preserve">•  </w:t>
      </w:r>
      <w:r>
        <w:rPr>
          <w:rFonts w:ascii="Calibri" w:hAnsi="Calibri"/>
          <w:b/>
          <w:color w:val="282828"/>
          <w:sz w:val="22"/>
        </w:rPr>
        <w:t>Formule de TCO au Kilomètre</w:t>
      </w:r>
      <w:r>
        <w:rPr>
          <w:rFonts w:ascii="Calibri" w:hAnsi="Calibri"/>
          <w:color w:val="282828"/>
          <w:sz w:val="22"/>
        </w:rPr>
        <w:t xml:space="preserve"> :</w:t>
      </w:r>
    </w:p>
    <w:p>
      <w:pPr>
        <w:spacing w:before="80" w:after="160" w:line="276" w:lineRule="auto"/>
      </w:pPr>
      <w:r>
        <w:rPr>
          <w:rFonts w:ascii="Calibri" w:hAnsi="Calibri"/>
          <w:color w:val="282828"/>
          <w:sz w:val="22"/>
        </w:rPr>
        <w:t>$$\text{Coût/Km} = \frac{\text{Dépenses Énergétiques} + \text{Frais de Maintenance} + \text{Assurance Amortie}}{\text{Distance Parcourue sur la Période}}$$</w:t>
      </w:r>
    </w:p>
    <w:p>
      <w:pPr>
        <w:spacing w:before="40" w:after="60" w:line="276" w:lineRule="auto"/>
        <w:ind w:left="360" w:hanging="360"/>
      </w:pPr>
      <w:r>
        <w:rPr>
          <w:rFonts w:ascii="Calibri" w:hAnsi="Calibri"/>
          <w:b/>
          <w:color w:val="C5A059"/>
          <w:sz w:val="22"/>
        </w:rPr>
        <w:t xml:space="preserve">•  </w:t>
      </w:r>
      <w:r>
        <w:rPr>
          <w:rFonts w:ascii="Calibri" w:hAnsi="Calibri"/>
          <w:b/>
          <w:color w:val="282828"/>
          <w:sz w:val="22"/>
        </w:rPr>
        <w:t>Mix Énergétique</w:t>
      </w:r>
      <w:r>
        <w:rPr>
          <w:rFonts w:ascii="Calibri" w:hAnsi="Calibri"/>
          <w:color w:val="282828"/>
          <w:sz w:val="22"/>
        </w:rPr>
        <w:t xml:space="preserve"> : Graphiques de répartition Thermique vs Électrique (en valeur financière et physique kWh/L).</w:t>
      </w:r>
    </w:p>
    <w:p>
      <w:pPr>
        <w:spacing w:before="40" w:after="60" w:line="276" w:lineRule="auto"/>
        <w:ind w:left="360" w:hanging="360"/>
      </w:pPr>
      <w:r>
        <w:rPr>
          <w:rFonts w:ascii="Calibri" w:hAnsi="Calibri"/>
          <w:b/>
          <w:color w:val="C5A059"/>
          <w:sz w:val="22"/>
        </w:rPr>
        <w:t xml:space="preserve">•  </w:t>
      </w:r>
      <w:r>
        <w:rPr>
          <w:rFonts w:ascii="Calibri" w:hAnsi="Calibri"/>
          <w:b/>
          <w:color w:val="282828"/>
          <w:sz w:val="22"/>
        </w:rPr>
        <w:t>Valorisation</w:t>
      </w:r>
      <w:r>
        <w:rPr>
          <w:rFonts w:ascii="Calibri" w:hAnsi="Calibri"/>
          <w:color w:val="282828"/>
          <w:sz w:val="22"/>
        </w:rPr>
        <w:t xml:space="preserve"> : Algorithme prévisionnel de dépréciation croisé avec les données du marché local pour estimer la valeur de revente future.</w:t>
      </w:r>
    </w:p>
    <w:p>
      <w:pPr>
        <w:spacing w:before="240" w:after="80" w:line="276" w:lineRule="auto"/>
      </w:pPr>
      <w:r>
        <w:rPr>
          <w:rFonts w:ascii="Calibri" w:hAnsi="Calibri"/>
          <w:b/>
          <w:color w:val="C5A059"/>
          <w:sz w:val="25"/>
        </w:rPr>
        <w:t>3.3. Carnet d'Entretien Certifié (Immuabilité)</w:t>
      </w:r>
    </w:p>
    <w:p>
      <w:pPr>
        <w:spacing w:before="40" w:after="60" w:line="276" w:lineRule="auto"/>
        <w:ind w:left="360" w:hanging="360"/>
      </w:pPr>
      <w:r>
        <w:rPr>
          <w:rFonts w:ascii="Calibri" w:hAnsi="Calibri"/>
          <w:b/>
          <w:color w:val="C5A059"/>
          <w:sz w:val="22"/>
        </w:rPr>
        <w:t xml:space="preserve">•  </w:t>
      </w:r>
      <w:r>
        <w:rPr>
          <w:rFonts w:ascii="Calibri" w:hAnsi="Calibri"/>
          <w:b/>
          <w:color w:val="282828"/>
          <w:sz w:val="22"/>
        </w:rPr>
        <w:t>Preuve d'Intégrité</w:t>
      </w:r>
      <w:r>
        <w:rPr>
          <w:rFonts w:ascii="Calibri" w:hAnsi="Calibri"/>
          <w:color w:val="282828"/>
          <w:sz w:val="22"/>
        </w:rPr>
        <w:t xml:space="preserve"> : Chaque facture ou intervention saisie génère un hash SHA-256 cryptographique chaîné à l'entrée précédente (principe de blockchain).</w:t>
      </w:r>
    </w:p>
    <w:p>
      <w:pPr>
        <w:spacing w:before="40" w:after="60" w:line="276" w:lineRule="auto"/>
        <w:ind w:left="360" w:hanging="360"/>
      </w:pPr>
      <w:r>
        <w:rPr>
          <w:rFonts w:ascii="Calibri" w:hAnsi="Calibri"/>
          <w:b/>
          <w:color w:val="C5A059"/>
          <w:sz w:val="22"/>
        </w:rPr>
        <w:t xml:space="preserve">•  </w:t>
      </w:r>
      <w:r>
        <w:rPr>
          <w:rFonts w:ascii="Calibri" w:hAnsi="Calibri"/>
          <w:b/>
          <w:color w:val="282828"/>
          <w:sz w:val="22"/>
        </w:rPr>
        <w:t>Immutabilité stricte</w:t>
      </w:r>
      <w:r>
        <w:rPr>
          <w:rFonts w:ascii="Calibri" w:hAnsi="Calibri"/>
          <w:color w:val="282828"/>
          <w:sz w:val="22"/>
        </w:rPr>
        <w:t xml:space="preserve"> : Verrouillage absolu en base de données. Les requêtes </w:t>
      </w:r>
      <w:r>
        <w:rPr>
          <w:rFonts w:ascii="Calibri" w:hAnsi="Calibri"/>
          <w:color w:val="282828"/>
          <w:sz w:val="22"/>
        </w:rPr>
        <w:t>UPDATE</w:t>
      </w:r>
      <w:r>
        <w:rPr>
          <w:rFonts w:ascii="Calibri" w:hAnsi="Calibri"/>
          <w:color w:val="282828"/>
          <w:sz w:val="22"/>
        </w:rPr>
        <w:t xml:space="preserve"> et </w:t>
      </w:r>
      <w:r>
        <w:rPr>
          <w:rFonts w:ascii="Calibri" w:hAnsi="Calibri"/>
          <w:color w:val="282828"/>
          <w:sz w:val="22"/>
        </w:rPr>
        <w:t>DELETE</w:t>
      </w:r>
      <w:r>
        <w:rPr>
          <w:rFonts w:ascii="Calibri" w:hAnsi="Calibri"/>
          <w:color w:val="282828"/>
          <w:sz w:val="22"/>
        </w:rPr>
        <w:t xml:space="preserve"> sur la table </w:t>
      </w:r>
      <w:r>
        <w:rPr>
          <w:rFonts w:ascii="Calibri" w:hAnsi="Calibri"/>
          <w:color w:val="282828"/>
          <w:sz w:val="22"/>
        </w:rPr>
        <w:t>maintenance_entries</w:t>
      </w:r>
      <w:r>
        <w:rPr>
          <w:rFonts w:ascii="Calibri" w:hAnsi="Calibri"/>
          <w:color w:val="282828"/>
          <w:sz w:val="22"/>
        </w:rPr>
        <w:t xml:space="preserve"> sont rejetées par des triggers PostgreSQL (même avec les privilèges admin de l'application).</w:t>
      </w:r>
    </w:p>
    <w:p>
      <w:pPr>
        <w:spacing w:before="40" w:after="60" w:line="276" w:lineRule="auto"/>
        <w:ind w:left="360" w:hanging="360"/>
      </w:pPr>
      <w:r>
        <w:rPr>
          <w:rFonts w:ascii="Calibri" w:hAnsi="Calibri"/>
          <w:b/>
          <w:color w:val="C5A059"/>
          <w:sz w:val="22"/>
        </w:rPr>
        <w:t xml:space="preserve">•  </w:t>
      </w:r>
      <w:r>
        <w:rPr>
          <w:rFonts w:ascii="Calibri" w:hAnsi="Calibri"/>
          <w:b/>
          <w:color w:val="282828"/>
          <w:sz w:val="22"/>
        </w:rPr>
        <w:t>Export Certifié</w:t>
      </w:r>
      <w:r>
        <w:rPr>
          <w:rFonts w:ascii="Calibri" w:hAnsi="Calibri"/>
          <w:color w:val="282828"/>
          <w:sz w:val="22"/>
        </w:rPr>
        <w:t xml:space="preserve"> : Génération d'un carnet d'entretien PDF exportable avec filigrane de conformité et signatures cryptographiques pour prouver le suivi rigoureux lors de la revente.</w:t>
      </w:r>
    </w:p>
    <w:p>
      <w:pPr>
        <w:spacing w:before="240" w:after="80" w:line="276" w:lineRule="auto"/>
      </w:pPr>
      <w:r>
        <w:rPr>
          <w:rFonts w:ascii="Calibri" w:hAnsi="Calibri"/>
          <w:b/>
          <w:color w:val="C5A059"/>
          <w:sz w:val="25"/>
        </w:rPr>
        <w:t>3.4. Intelligence de Maintenance Prédictive (PHM)</w:t>
      </w:r>
    </w:p>
    <w:p>
      <w:pPr>
        <w:spacing w:before="80" w:after="160" w:line="276" w:lineRule="auto"/>
      </w:pPr>
      <w:r>
        <w:rPr>
          <w:rFonts w:ascii="Calibri" w:hAnsi="Calibri"/>
          <w:color w:val="282828"/>
          <w:sz w:val="22"/>
        </w:rPr>
        <w:t>Le module PHM (</w:t>
      </w:r>
      <w:r>
        <w:rPr>
          <w:rFonts w:ascii="Calibri" w:hAnsi="Calibri"/>
          <w:i/>
          <w:color w:val="282828"/>
          <w:sz w:val="22"/>
        </w:rPr>
        <w:t>Prognostics and Health Management</w:t>
      </w:r>
      <w:r>
        <w:rPr>
          <w:rFonts w:ascii="Calibri" w:hAnsi="Calibri"/>
          <w:color w:val="282828"/>
          <w:sz w:val="22"/>
        </w:rPr>
        <w:t>) simule des modèles avancés de fiabilité industrielle :</w:t>
      </w:r>
    </w:p>
    <w:p>
      <w:pPr>
        <w:spacing w:before="40" w:after="60" w:line="276" w:lineRule="auto"/>
        <w:ind w:left="360" w:hanging="360"/>
      </w:pPr>
      <w:r>
        <w:rPr>
          <w:rFonts w:ascii="Calibri" w:hAnsi="Calibri"/>
          <w:b/>
          <w:color w:val="C5A059"/>
          <w:sz w:val="22"/>
        </w:rPr>
        <w:t xml:space="preserve">•  </w:t>
      </w:r>
      <w:r>
        <w:rPr>
          <w:rFonts w:ascii="Calibri" w:hAnsi="Calibri"/>
          <w:b/>
          <w:color w:val="282828"/>
          <w:sz w:val="22"/>
        </w:rPr>
        <w:t>Détection d'Anomalie (Z-Score)</w:t>
      </w:r>
      <w:r>
        <w:rPr>
          <w:rFonts w:ascii="Calibri" w:hAnsi="Calibri"/>
          <w:color w:val="282828"/>
          <w:sz w:val="22"/>
        </w:rPr>
        <w:t xml:space="preserve"> : Analyse des paramètres OBD (RPM, charge, température liquide, MAF, batterie) pour remonter immédiatement une anomalie mécanique ou électrique.</w:t>
      </w:r>
    </w:p>
    <w:p>
      <w:pPr>
        <w:spacing w:before="40" w:after="60" w:line="276" w:lineRule="auto"/>
        <w:ind w:left="360" w:hanging="360"/>
      </w:pPr>
      <w:r>
        <w:rPr>
          <w:rFonts w:ascii="Calibri" w:hAnsi="Calibri"/>
          <w:b/>
          <w:color w:val="C5A059"/>
          <w:sz w:val="22"/>
        </w:rPr>
        <w:t xml:space="preserve">•  </w:t>
      </w:r>
      <w:r>
        <w:rPr>
          <w:rFonts w:ascii="Calibri" w:hAnsi="Calibri"/>
          <w:b/>
          <w:color w:val="282828"/>
          <w:sz w:val="22"/>
        </w:rPr>
        <w:t>Analyse de Survie (Weibull)</w:t>
      </w:r>
      <w:r>
        <w:rPr>
          <w:rFonts w:ascii="Calibri" w:hAnsi="Calibri"/>
          <w:color w:val="282828"/>
          <w:sz w:val="22"/>
        </w:rPr>
        <w:t xml:space="preserve"> : Estime la Durée de Vie Utile Restante (</w:t>
      </w:r>
      <w:r>
        <w:rPr>
          <w:rFonts w:ascii="Calibri" w:hAnsi="Calibri"/>
          <w:i/>
          <w:color w:val="282828"/>
          <w:sz w:val="22"/>
        </w:rPr>
        <w:t>Remaining Useful Life</w:t>
      </w:r>
      <w:r>
        <w:rPr>
          <w:rFonts w:ascii="Calibri" w:hAnsi="Calibri"/>
          <w:color w:val="282828"/>
          <w:sz w:val="22"/>
        </w:rPr>
        <w:t xml:space="preserve"> - RUL) des composants critiques (freins, pneus, filtres, batterie) selon l'usure kilométrique réelle.</w:t>
      </w:r>
    </w:p>
    <w:p>
      <w:pPr>
        <w:spacing w:before="40" w:after="60" w:line="276" w:lineRule="auto"/>
        <w:ind w:left="360" w:hanging="360"/>
      </w:pPr>
      <w:r>
        <w:rPr>
          <w:rFonts w:ascii="Calibri" w:hAnsi="Calibri"/>
          <w:b/>
          <w:color w:val="C5A059"/>
          <w:sz w:val="22"/>
        </w:rPr>
        <w:t xml:space="preserve">•  </w:t>
      </w:r>
      <w:r>
        <w:rPr>
          <w:rFonts w:ascii="Calibri" w:hAnsi="Calibri"/>
          <w:b/>
          <w:color w:val="282828"/>
          <w:sz w:val="22"/>
        </w:rPr>
        <w:t>Classification Forest</w:t>
      </w:r>
      <w:r>
        <w:rPr>
          <w:rFonts w:ascii="Calibri" w:hAnsi="Calibri"/>
          <w:color w:val="282828"/>
          <w:sz w:val="22"/>
        </w:rPr>
        <w:t xml:space="preserve"> : Synthétise l'état du composant (Excellent, Usure modérée, Panne imminente) avec un taux de confiance statistique simulé par apprentissage automatique.</w:t>
      </w:r>
    </w:p>
    <w:p>
      <w:pPr>
        <w:spacing w:before="240" w:after="80" w:line="276" w:lineRule="auto"/>
      </w:pPr>
      <w:r>
        <w:rPr>
          <w:rFonts w:ascii="Calibri" w:hAnsi="Calibri"/>
          <w:b/>
          <w:color w:val="C5A059"/>
          <w:sz w:val="25"/>
        </w:rPr>
        <w:t>3.5. Cartographie interactive (Mapbox)</w:t>
      </w:r>
    </w:p>
    <w:p>
      <w:pPr>
        <w:spacing w:before="40" w:after="60" w:line="276" w:lineRule="auto"/>
        <w:ind w:left="360" w:hanging="360"/>
      </w:pPr>
      <w:r>
        <w:rPr>
          <w:rFonts w:ascii="Calibri" w:hAnsi="Calibri"/>
          <w:b/>
          <w:color w:val="C5A059"/>
          <w:sz w:val="22"/>
        </w:rPr>
        <w:t xml:space="preserve">•  </w:t>
      </w:r>
      <w:r>
        <w:rPr>
          <w:rFonts w:ascii="Calibri" w:hAnsi="Calibri"/>
          <w:b/>
          <w:color w:val="282828"/>
          <w:sz w:val="22"/>
        </w:rPr>
        <w:t>Stations-services &amp; Bornes</w:t>
      </w:r>
      <w:r>
        <w:rPr>
          <w:rFonts w:ascii="Calibri" w:hAnsi="Calibri"/>
          <w:color w:val="282828"/>
          <w:sz w:val="22"/>
        </w:rPr>
        <w:t xml:space="preserve"> : Affichage des stations-services locales et des bornes de recharge électrique à proximité avec le détail des connecteurs et puissances de charge disponibles.</w:t>
      </w:r>
    </w:p>
    <w:p>
      <w:pPr>
        <w:spacing w:before="40" w:after="60" w:line="276" w:lineRule="auto"/>
        <w:ind w:left="360" w:hanging="360"/>
      </w:pPr>
      <w:r>
        <w:rPr>
          <w:rFonts w:ascii="Calibri" w:hAnsi="Calibri"/>
          <w:b/>
          <w:color w:val="C5A059"/>
          <w:sz w:val="22"/>
        </w:rPr>
        <w:t xml:space="preserve">•  </w:t>
      </w:r>
      <w:r>
        <w:rPr>
          <w:rFonts w:ascii="Calibri" w:hAnsi="Calibri"/>
          <w:b/>
          <w:color w:val="282828"/>
          <w:sz w:val="22"/>
        </w:rPr>
        <w:t>Réseau de Partenaires</w:t>
      </w:r>
      <w:r>
        <w:rPr>
          <w:rFonts w:ascii="Calibri" w:hAnsi="Calibri"/>
          <w:color w:val="282828"/>
          <w:sz w:val="22"/>
        </w:rPr>
        <w:t xml:space="preserve"> : Cartographie des garages partenaires VeloceWealth identifiés (notation, services proposés, remises exclusives).</w:t>
      </w:r>
    </w:p>
    <w:p>
      <w:pPr>
        <w:spacing w:before="240" w:after="80" w:line="276" w:lineRule="auto"/>
      </w:pPr>
      <w:r>
        <w:rPr>
          <w:rFonts w:ascii="Calibri" w:hAnsi="Calibri"/>
          <w:b/>
          <w:color w:val="C5A059"/>
          <w:sz w:val="25"/>
        </w:rPr>
        <w:t>3.6. Module d'Abonnement (Stripe)</w:t>
      </w:r>
    </w:p>
    <w:p>
      <w:pPr>
        <w:spacing w:before="40" w:after="60" w:line="276" w:lineRule="auto"/>
        <w:ind w:left="360" w:hanging="360"/>
      </w:pPr>
      <w:r>
        <w:rPr>
          <w:rFonts w:ascii="Calibri" w:hAnsi="Calibri"/>
          <w:b/>
          <w:color w:val="C5A059"/>
          <w:sz w:val="22"/>
        </w:rPr>
        <w:t xml:space="preserve">•  </w:t>
      </w:r>
      <w:r>
        <w:rPr>
          <w:rFonts w:ascii="Calibri" w:hAnsi="Calibri"/>
          <w:b/>
          <w:color w:val="282828"/>
          <w:sz w:val="22"/>
        </w:rPr>
        <w:t>Niveaux de Tarifs</w:t>
      </w:r>
      <w:r>
        <w:rPr>
          <w:rFonts w:ascii="Calibri" w:hAnsi="Calibri"/>
          <w:color w:val="282828"/>
          <w:sz w:val="22"/>
        </w:rPr>
        <w:t xml:space="preserve"> : Standard, Premium, Flotte et Partenaire.</w:t>
      </w:r>
    </w:p>
    <w:p>
      <w:pPr>
        <w:spacing w:before="40" w:after="60" w:line="276" w:lineRule="auto"/>
        <w:ind w:left="360" w:hanging="360"/>
      </w:pPr>
      <w:r>
        <w:rPr>
          <w:rFonts w:ascii="Calibri" w:hAnsi="Calibri"/>
          <w:b/>
          <w:color w:val="C5A059"/>
          <w:sz w:val="22"/>
        </w:rPr>
        <w:t xml:space="preserve">•  </w:t>
      </w:r>
      <w:r>
        <w:rPr>
          <w:rFonts w:ascii="Calibri" w:hAnsi="Calibri"/>
          <w:b/>
          <w:color w:val="282828"/>
          <w:sz w:val="22"/>
        </w:rPr>
        <w:t>Stripe Tax</w:t>
      </w:r>
      <w:r>
        <w:rPr>
          <w:rFonts w:ascii="Calibri" w:hAnsi="Calibri"/>
          <w:color w:val="282828"/>
          <w:sz w:val="22"/>
        </w:rPr>
        <w:t xml:space="preserve"> : Calcul automatique de la TVA locale en fonction du pays de résidence de l'utilisateur.</w:t>
      </w:r>
    </w:p>
    <w:p>
      <w:pPr>
        <w:spacing w:before="40" w:after="60" w:line="276" w:lineRule="auto"/>
        <w:ind w:left="360" w:hanging="360"/>
      </w:pPr>
      <w:r>
        <w:rPr>
          <w:rFonts w:ascii="Calibri" w:hAnsi="Calibri"/>
          <w:b/>
          <w:color w:val="C5A059"/>
          <w:sz w:val="22"/>
        </w:rPr>
        <w:t xml:space="preserve">•  </w:t>
      </w:r>
      <w:r>
        <w:rPr>
          <w:rFonts w:ascii="Calibri" w:hAnsi="Calibri"/>
          <w:b/>
          <w:color w:val="282828"/>
          <w:sz w:val="22"/>
        </w:rPr>
        <w:t>Portail Client</w:t>
      </w:r>
      <w:r>
        <w:rPr>
          <w:rFonts w:ascii="Calibri" w:hAnsi="Calibri"/>
          <w:color w:val="282828"/>
          <w:sz w:val="22"/>
        </w:rPr>
        <w:t xml:space="preserve"> : Espace d'auto-gestion permettant de modifier la formule d'abonnement, de mettre à jour le moyen de paiement, d'annuler en un clic et de télécharger les factures.</w:t>
      </w:r>
    </w:p>
    <w:p>
      <w:pPr>
        <w:spacing w:before="320" w:after="120" w:line="276" w:lineRule="auto"/>
      </w:pPr>
      <w:r>
        <w:rPr>
          <w:rFonts w:ascii="Georgia" w:hAnsi="Georgia"/>
          <w:b/>
          <w:color w:val="0A0E1A"/>
          <w:sz w:val="30"/>
        </w:rPr>
        <w:t>4. Priorisation des Fonctionnalités &amp; Scope MVP</w:t>
      </w:r>
    </w:p>
    <w:p>
      <w:pPr>
        <w:spacing w:before="80" w:after="160" w:line="276" w:lineRule="auto"/>
      </w:pPr>
      <w:r>
        <w:rPr>
          <w:rFonts w:ascii="Calibri" w:hAnsi="Calibri"/>
          <w:color w:val="282828"/>
          <w:sz w:val="22"/>
        </w:rPr>
        <w:t>Afin d'assurer un time-to-market ultra-rapide et de valider les hypothèses de valeur auprès des investisseurs et conducteurs, le backlog produit est priorisé selon la règle stricte du MVP.</w:t>
      </w:r>
    </w:p>
    <w:p>
      <w:pPr>
        <w:spacing w:before="240" w:after="80" w:line="276" w:lineRule="auto"/>
      </w:pPr>
      <w:r>
        <w:rPr>
          <w:rFonts w:ascii="Calibri" w:hAnsi="Calibri"/>
          <w:b/>
          <w:color w:val="C5A059"/>
          <w:sz w:val="25"/>
        </w:rPr>
        <w:t>Question Clé de Priorisation</w:t>
      </w:r>
    </w:p>
    <w:p>
      <w:pPr>
        <w:spacing w:before="120" w:after="160" w:line="276" w:lineRule="auto"/>
        <w:ind w:left="576"/>
      </w:pPr>
    </w:p>
    <w:tbl>
      <w:tblPr>
        <w:tblW w:type="auto" w:w="0"/>
        <w:tblLayout w:type="fixed"/>
        <w:tblLook w:firstColumn="1" w:firstRow="1" w:lastColumn="0" w:lastRow="0" w:noHBand="0" w:noVBand="1" w:val="04A0"/>
      </w:tblPr>
      <w:tblGrid>
        <w:gridCol w:w="8064"/>
      </w:tblGrid>
      <w:tr>
        <w:tc>
          <w:tcPr>
            <w:tcW w:type="dxa" w:w="9360"/>
            <w:shd w:fill="F7F7F9"/>
            <w:tcMar>
              <w:top w:w="80" w:type="dxa"/>
              <w:bottom w:w="80" w:type="dxa"/>
              <w:left w:w="120" w:type="dxa"/>
              <w:right w:w="120" w:type="dxa"/>
            </w:tcMar>
            <w:tcBorders>
              <w:left w:val="single" w:sz="36" w:space="0" w:color="C5A059"/>
              <w:top w:val="none"/>
              <w:bottom w:val="none"/>
              <w:right w:val="none"/>
            </w:tcBorders>
          </w:tcPr>
          <w:p>
            <w:pPr>
              <w:spacing w:before="40" w:after="40" w:line="276" w:lineRule="auto"/>
            </w:pPr>
            <w:r>
              <w:rPr>
                <w:rFonts w:ascii="Calibri" w:hAnsi="Calibri"/>
                <w:b/>
                <w:color w:val="0A0E1A"/>
                <w:sz w:val="21"/>
              </w:rPr>
              <w:t xml:space="preserve">ℹ️ </w:t>
            </w:r>
            <w:r>
              <w:rPr>
                <w:rFonts w:ascii="Calibri" w:hAnsi="Calibri"/>
                <w:b/>
                <w:i/>
                <w:color w:val="282828"/>
                <w:sz w:val="21"/>
              </w:rPr>
              <w:t>« Si on retire cette fonctionnalité, le MVP fonctionne-t-il encore ? »</w:t>
            </w:r>
          </w:p>
        </w:tc>
      </w:tr>
    </w:tbl>
    <w:p>
      <w:pPr>
        <w:spacing w:before="120" w:after="160" w:line="276" w:lineRule="auto"/>
        <w:ind w:left="576"/>
      </w:pPr>
    </w:p>
    <w:tbl>
      <w:tblPr>
        <w:tblW w:type="auto" w:w="0"/>
        <w:tblLayout w:type="fixed"/>
        <w:tblLook w:firstColumn="1" w:firstRow="1" w:lastColumn="0" w:lastRow="0" w:noHBand="0" w:noVBand="1" w:val="04A0"/>
      </w:tblPr>
      <w:tblGrid>
        <w:gridCol w:w="8064"/>
      </w:tblGrid>
      <w:tr>
        <w:tc>
          <w:tcPr>
            <w:tcW w:type="dxa" w:w="9360"/>
            <w:shd w:fill="F7F7F9"/>
            <w:tcMar>
              <w:top w:w="80" w:type="dxa"/>
              <w:bottom w:w="80" w:type="dxa"/>
              <w:left w:w="120" w:type="dxa"/>
              <w:right w:w="120" w:type="dxa"/>
            </w:tcMar>
            <w:tcBorders>
              <w:left w:val="single" w:sz="36" w:space="0" w:color="C5A059"/>
              <w:top w:val="none"/>
              <w:bottom w:val="none"/>
              <w:right w:val="none"/>
            </w:tcBorders>
          </w:tcPr>
          <w:p>
            <w:pPr>
              <w:spacing w:before="40" w:after="40" w:line="276" w:lineRule="auto"/>
            </w:pPr>
            <w:r>
              <w:rPr>
                <w:rFonts w:ascii="Calibri" w:hAnsi="Calibri"/>
                <w:b/>
                <w:color w:val="0A0E1A"/>
                <w:sz w:val="21"/>
              </w:rPr>
              <w:t xml:space="preserve">ℹ️ </w:t>
            </w:r>
            <w:r>
              <w:rPr>
                <w:rFonts w:ascii="Calibri" w:hAnsi="Calibri"/>
                <w:i/>
                <w:color w:val="282828"/>
                <w:sz w:val="21"/>
              </w:rPr>
              <w:t xml:space="preserve"> </w:t>
            </w:r>
            <w:r>
              <w:rPr>
                <w:rFonts w:ascii="Calibri" w:hAnsi="Calibri"/>
                <w:i/>
                <w:color w:val="282828"/>
                <w:sz w:val="21"/>
              </w:rPr>
              <w:t>Non</w:t>
            </w:r>
            <w:r>
              <w:rPr>
                <w:rFonts w:ascii="Calibri" w:hAnsi="Calibri"/>
                <w:i/>
                <w:color w:val="282828"/>
                <w:sz w:val="21"/>
              </w:rPr>
              <w:t xml:space="preserve"> $\rightarrow$ </w:t>
            </w:r>
            <w:r>
              <w:rPr>
                <w:rFonts w:ascii="Calibri" w:hAnsi="Calibri"/>
                <w:i/>
                <w:color w:val="282828"/>
                <w:sz w:val="21"/>
              </w:rPr>
              <w:t>Priorité Haute</w:t>
            </w:r>
            <w:r>
              <w:rPr>
                <w:rFonts w:ascii="Calibri" w:hAnsi="Calibri"/>
                <w:i/>
                <w:color w:val="282828"/>
                <w:sz w:val="21"/>
              </w:rPr>
              <w:t>* : Indispensable pour la survie et l'utilité du produit.</w:t>
            </w:r>
          </w:p>
        </w:tc>
      </w:tr>
    </w:tbl>
    <w:p>
      <w:pPr>
        <w:spacing w:before="120" w:after="160" w:line="276" w:lineRule="auto"/>
        <w:ind w:left="576"/>
      </w:pPr>
    </w:p>
    <w:tbl>
      <w:tblPr>
        <w:tblW w:type="auto" w:w="0"/>
        <w:tblLayout w:type="fixed"/>
        <w:tblLook w:firstColumn="1" w:firstRow="1" w:lastColumn="0" w:lastRow="0" w:noHBand="0" w:noVBand="1" w:val="04A0"/>
      </w:tblPr>
      <w:tblGrid>
        <w:gridCol w:w="8064"/>
      </w:tblGrid>
      <w:tr>
        <w:tc>
          <w:tcPr>
            <w:tcW w:type="dxa" w:w="9360"/>
            <w:shd w:fill="F7F7F9"/>
            <w:tcMar>
              <w:top w:w="80" w:type="dxa"/>
              <w:bottom w:w="80" w:type="dxa"/>
              <w:left w:w="120" w:type="dxa"/>
              <w:right w:w="120" w:type="dxa"/>
            </w:tcMar>
            <w:tcBorders>
              <w:left w:val="single" w:sz="36" w:space="0" w:color="C5A059"/>
              <w:top w:val="none"/>
              <w:bottom w:val="none"/>
              <w:right w:val="none"/>
            </w:tcBorders>
          </w:tcPr>
          <w:p>
            <w:pPr>
              <w:spacing w:before="40" w:after="40" w:line="276" w:lineRule="auto"/>
            </w:pPr>
            <w:r>
              <w:rPr>
                <w:rFonts w:ascii="Calibri" w:hAnsi="Calibri"/>
                <w:b/>
                <w:color w:val="0A0E1A"/>
                <w:sz w:val="21"/>
              </w:rPr>
              <w:t xml:space="preserve">ℹ️ </w:t>
            </w:r>
            <w:r>
              <w:rPr>
                <w:rFonts w:ascii="Calibri" w:hAnsi="Calibri"/>
                <w:i/>
                <w:color w:val="282828"/>
                <w:sz w:val="21"/>
              </w:rPr>
              <w:t xml:space="preserve"> </w:t>
            </w:r>
            <w:r>
              <w:rPr>
                <w:rFonts w:ascii="Calibri" w:hAnsi="Calibri"/>
                <w:i/>
                <w:color w:val="282828"/>
                <w:sz w:val="21"/>
              </w:rPr>
              <w:t>Oui</w:t>
            </w:r>
            <w:r>
              <w:rPr>
                <w:rFonts w:ascii="Calibri" w:hAnsi="Calibri"/>
                <w:i/>
                <w:color w:val="282828"/>
                <w:sz w:val="21"/>
              </w:rPr>
              <w:t xml:space="preserve"> $\rightarrow$ </w:t>
            </w:r>
            <w:r>
              <w:rPr>
                <w:rFonts w:ascii="Calibri" w:hAnsi="Calibri"/>
                <w:i/>
                <w:color w:val="282828"/>
                <w:sz w:val="21"/>
              </w:rPr>
              <w:t>Priorité Moyenne/Basse</w:t>
            </w:r>
            <w:r>
              <w:rPr>
                <w:rFonts w:ascii="Calibri" w:hAnsi="Calibri"/>
                <w:i/>
                <w:color w:val="282828"/>
                <w:sz w:val="21"/>
              </w:rPr>
              <w:t>* : Amélioration UX ou confort, différée post-lancement.</w:t>
            </w:r>
          </w:p>
        </w:tc>
      </w:tr>
    </w:tbl>
    <w:p>
      <w:pPr>
        <w:spacing w:before="240" w:after="80" w:line="276" w:lineRule="auto"/>
      </w:pPr>
      <w:r>
        <w:rPr>
          <w:rFonts w:ascii="Calibri" w:hAnsi="Calibri"/>
          <w:b/>
          <w:color w:val="C5A059"/>
          <w:sz w:val="25"/>
        </w:rPr>
        <w:t>Matrice de Priorisation du Backlog</w:t>
      </w:r>
    </w:p>
    <w:tbl>
      <w:tblPr>
        <w:tblW w:type="auto" w:w="0"/>
        <w:tblLayout w:type="autofit"/>
        <w:tblLook w:firstColumn="1" w:firstRow="1" w:lastColumn="0" w:lastRow="0" w:noHBand="0" w:noVBand="1" w:val="04A0"/>
      </w:tblPr>
      <w:tblGrid>
        <w:gridCol w:w="2340"/>
        <w:gridCol w:w="2340"/>
        <w:gridCol w:w="2340"/>
        <w:gridCol w:w="2340"/>
      </w:tblGrid>
      <w:tr>
        <w:tc>
          <w:tcPr>
            <w:tcW w:type="dxa" w:w="2340"/>
            <w:tcMar>
              <w:top w:w="100" w:type="dxa"/>
              <w:bottom w:w="100" w:type="dxa"/>
              <w:left w:w="120" w:type="dxa"/>
              <w:right w:w="120" w:type="dxa"/>
            </w:tcMar>
            <w:shd w:fill="0A0E1A"/>
          </w:tcPr>
          <w:p>
            <w:pPr>
              <w:spacing w:before="80" w:after="80" w:line="276" w:lineRule="auto"/>
              <w:jc w:val="center"/>
            </w:pPr>
            <w:r>
              <w:rPr>
                <w:rFonts w:ascii="Calibri" w:hAnsi="Calibri"/>
                <w:b/>
                <w:color w:val="FDFCF8"/>
                <w:sz w:val="21"/>
              </w:rPr>
              <w:t>Module Fonctionnel</w:t>
            </w:r>
          </w:p>
        </w:tc>
        <w:tc>
          <w:tcPr>
            <w:tcW w:type="dxa" w:w="2340"/>
            <w:tcMar>
              <w:top w:w="100" w:type="dxa"/>
              <w:bottom w:w="100" w:type="dxa"/>
              <w:left w:w="120" w:type="dxa"/>
              <w:right w:w="120" w:type="dxa"/>
            </w:tcMar>
            <w:shd w:fill="0A0E1A"/>
          </w:tcPr>
          <w:p>
            <w:pPr>
              <w:spacing w:before="80" w:after="80" w:line="276" w:lineRule="auto"/>
              <w:jc w:val="center"/>
            </w:pPr>
            <w:r>
              <w:rPr>
                <w:rFonts w:ascii="Calibri" w:hAnsi="Calibri"/>
                <w:b/>
                <w:color w:val="FDFCF8"/>
                <w:sz w:val="21"/>
              </w:rPr>
              <w:t>Description Scope MVP</w:t>
            </w:r>
          </w:p>
        </w:tc>
        <w:tc>
          <w:tcPr>
            <w:tcW w:type="dxa" w:w="2340"/>
            <w:tcMar>
              <w:top w:w="100" w:type="dxa"/>
              <w:bottom w:w="100" w:type="dxa"/>
              <w:left w:w="120" w:type="dxa"/>
              <w:right w:w="120" w:type="dxa"/>
            </w:tcMar>
            <w:shd w:fill="0A0E1A"/>
          </w:tcPr>
          <w:p>
            <w:pPr>
              <w:spacing w:before="80" w:after="80" w:line="276" w:lineRule="auto"/>
              <w:jc w:val="center"/>
            </w:pPr>
            <w:r>
              <w:rPr>
                <w:rFonts w:ascii="Calibri" w:hAnsi="Calibri"/>
                <w:b/>
                <w:color w:val="FDFCF8"/>
                <w:sz w:val="21"/>
              </w:rPr>
              <w:t>Niveau</w:t>
            </w:r>
          </w:p>
        </w:tc>
        <w:tc>
          <w:tcPr>
            <w:tcW w:type="dxa" w:w="2340"/>
            <w:tcMar>
              <w:top w:w="100" w:type="dxa"/>
              <w:bottom w:w="100" w:type="dxa"/>
              <w:left w:w="120" w:type="dxa"/>
              <w:right w:w="120" w:type="dxa"/>
            </w:tcMar>
            <w:shd w:fill="0A0E1A"/>
          </w:tcPr>
          <w:p>
            <w:pPr>
              <w:spacing w:before="80" w:after="80" w:line="276" w:lineRule="auto"/>
              <w:jc w:val="center"/>
            </w:pPr>
            <w:r>
              <w:rPr>
                <w:rFonts w:ascii="Calibri" w:hAnsi="Calibri"/>
                <w:b/>
                <w:color w:val="FDFCF8"/>
                <w:sz w:val="21"/>
              </w:rPr>
              <w:t>Justification / Question Clé</w:t>
            </w:r>
          </w:p>
        </w:tc>
      </w:tr>
      <w:tr>
        <w:tc>
          <w:tcPr>
            <w:tcW w:type="dxa" w:w="2340"/>
            <w:tcMar>
              <w:top w:w="100" w:type="dxa"/>
              <w:bottom w:w="100" w:type="dxa"/>
              <w:left w:w="120" w:type="dxa"/>
              <w:right w:w="120" w:type="dxa"/>
            </w:tcMar>
            <w:shd w:fill="F7F7F9"/>
          </w:tcPr>
          <w:p>
            <w:pPr>
              <w:spacing w:before="80" w:after="80" w:line="276" w:lineRule="auto"/>
            </w:pPr>
            <w:r>
              <w:rPr>
                <w:rFonts w:ascii="Calibri" w:hAnsi="Calibri"/>
                <w:b/>
                <w:color w:val="282828"/>
                <w:sz w:val="20"/>
              </w:rPr>
              <w:t>Lookup Immatriculation &amp; Véhicules</w:t>
            </w:r>
          </w:p>
        </w:tc>
        <w:tc>
          <w:tcPr>
            <w:tcW w:type="dxa" w:w="2340"/>
            <w:tcMar>
              <w:top w:w="100" w:type="dxa"/>
              <w:bottom w:w="100" w:type="dxa"/>
              <w:left w:w="120" w:type="dxa"/>
              <w:right w:w="120" w:type="dxa"/>
            </w:tcMar>
            <w:shd w:fill="F7F7F9"/>
          </w:tcPr>
          <w:p>
            <w:pPr>
              <w:spacing w:before="80" w:after="80" w:line="276" w:lineRule="auto"/>
            </w:pPr>
            <w:r>
              <w:rPr>
                <w:rFonts w:ascii="Calibri" w:hAnsi="Calibri"/>
                <w:color w:val="282828"/>
                <w:sz w:val="20"/>
              </w:rPr>
              <w:t>Cascade locale + SIV basique. Saisie de plaque et récupération instantanée.</w:t>
            </w:r>
          </w:p>
        </w:tc>
        <w:tc>
          <w:tcPr>
            <w:tcW w:type="dxa" w:w="2340"/>
            <w:tcMar>
              <w:top w:w="100" w:type="dxa"/>
              <w:bottom w:w="100" w:type="dxa"/>
              <w:left w:w="120" w:type="dxa"/>
              <w:right w:w="120" w:type="dxa"/>
            </w:tcMar>
            <w:shd w:fill="F7F7F9"/>
          </w:tcPr>
          <w:p>
            <w:pPr>
              <w:spacing w:before="80" w:after="80" w:line="276" w:lineRule="auto"/>
            </w:pPr>
            <w:r>
              <w:rPr>
                <w:rFonts w:ascii="Calibri" w:hAnsi="Calibri"/>
                <w:b/>
                <w:color w:val="282828"/>
                <w:sz w:val="20"/>
              </w:rPr>
              <w:t>Haute</w:t>
            </w:r>
          </w:p>
        </w:tc>
        <w:tc>
          <w:tcPr>
            <w:tcW w:type="dxa" w:w="2340"/>
            <w:tcMar>
              <w:top w:w="100" w:type="dxa"/>
              <w:bottom w:w="100" w:type="dxa"/>
              <w:left w:w="120" w:type="dxa"/>
              <w:right w:w="120" w:type="dxa"/>
            </w:tcMar>
            <w:shd w:fill="F7F7F9"/>
          </w:tcPr>
          <w:p>
            <w:pPr>
              <w:spacing w:before="80" w:after="80" w:line="276" w:lineRule="auto"/>
            </w:pPr>
            <w:r>
              <w:rPr>
                <w:rFonts w:ascii="Calibri" w:hAnsi="Calibri"/>
                <w:b/>
                <w:color w:val="282828"/>
                <w:sz w:val="20"/>
              </w:rPr>
              <w:t>Non.</w:t>
            </w:r>
            <w:r>
              <w:rPr>
                <w:rFonts w:ascii="Calibri" w:hAnsi="Calibri"/>
                <w:color w:val="282828"/>
                <w:sz w:val="20"/>
              </w:rPr>
              <w:t xml:space="preserve"> Sans véhicule dans le système, le suivi des coûts et de l'actif est impossible.</w:t>
            </w:r>
          </w:p>
        </w:tc>
      </w:tr>
      <w:tr>
        <w:tc>
          <w:tcPr>
            <w:tcW w:type="dxa" w:w="2340"/>
            <w:tcMar>
              <w:top w:w="100" w:type="dxa"/>
              <w:bottom w:w="100" w:type="dxa"/>
              <w:left w:w="120" w:type="dxa"/>
              <w:right w:w="120" w:type="dxa"/>
            </w:tcMar>
          </w:tcPr>
          <w:p>
            <w:pPr>
              <w:spacing w:before="80" w:after="80" w:line="276" w:lineRule="auto"/>
            </w:pPr>
            <w:r>
              <w:rPr>
                <w:rFonts w:ascii="Calibri" w:hAnsi="Calibri"/>
                <w:b/>
                <w:color w:val="282828"/>
                <w:sz w:val="20"/>
              </w:rPr>
              <w:t>Logger de Dépenses Manuel</w:t>
            </w:r>
          </w:p>
        </w:tc>
        <w:tc>
          <w:tcPr>
            <w:tcW w:type="dxa" w:w="2340"/>
            <w:tcMar>
              <w:top w:w="100" w:type="dxa"/>
              <w:bottom w:w="100" w:type="dxa"/>
              <w:left w:w="120" w:type="dxa"/>
              <w:right w:w="120" w:type="dxa"/>
            </w:tcMar>
          </w:tcPr>
          <w:p>
            <w:pPr>
              <w:spacing w:before="80" w:after="80" w:line="276" w:lineRule="auto"/>
            </w:pPr>
            <w:r>
              <w:rPr>
                <w:rFonts w:ascii="Calibri" w:hAnsi="Calibri"/>
                <w:color w:val="282828"/>
                <w:sz w:val="20"/>
              </w:rPr>
              <w:t>Formulaire simple d'ajout de pleins d'énergie (carburant/recharge) et de factures.</w:t>
            </w:r>
          </w:p>
        </w:tc>
        <w:tc>
          <w:tcPr>
            <w:tcW w:type="dxa" w:w="2340"/>
            <w:tcMar>
              <w:top w:w="100" w:type="dxa"/>
              <w:bottom w:w="100" w:type="dxa"/>
              <w:left w:w="120" w:type="dxa"/>
              <w:right w:w="120" w:type="dxa"/>
            </w:tcMar>
          </w:tcPr>
          <w:p>
            <w:pPr>
              <w:spacing w:before="80" w:after="80" w:line="276" w:lineRule="auto"/>
            </w:pPr>
            <w:r>
              <w:rPr>
                <w:rFonts w:ascii="Calibri" w:hAnsi="Calibri"/>
                <w:b/>
                <w:color w:val="282828"/>
                <w:sz w:val="20"/>
              </w:rPr>
              <w:t>Haute</w:t>
            </w:r>
          </w:p>
        </w:tc>
        <w:tc>
          <w:tcPr>
            <w:tcW w:type="dxa" w:w="2340"/>
            <w:tcMar>
              <w:top w:w="100" w:type="dxa"/>
              <w:bottom w:w="100" w:type="dxa"/>
              <w:left w:w="120" w:type="dxa"/>
              <w:right w:w="120" w:type="dxa"/>
            </w:tcMar>
          </w:tcPr>
          <w:p>
            <w:pPr>
              <w:spacing w:before="80" w:after="80" w:line="276" w:lineRule="auto"/>
            </w:pPr>
            <w:r>
              <w:rPr>
                <w:rFonts w:ascii="Calibri" w:hAnsi="Calibri"/>
                <w:b/>
                <w:color w:val="282828"/>
                <w:sz w:val="20"/>
              </w:rPr>
              <w:t>Non.</w:t>
            </w:r>
            <w:r>
              <w:rPr>
                <w:rFonts w:ascii="Calibri" w:hAnsi="Calibri"/>
                <w:color w:val="282828"/>
                <w:sz w:val="20"/>
              </w:rPr>
              <w:t xml:space="preserve"> Fournit les données brutes indispensables pour calculer le TCO.</w:t>
            </w:r>
          </w:p>
        </w:tc>
      </w:tr>
      <w:tr>
        <w:tc>
          <w:tcPr>
            <w:tcW w:type="dxa" w:w="2340"/>
            <w:tcMar>
              <w:top w:w="100" w:type="dxa"/>
              <w:bottom w:w="100" w:type="dxa"/>
              <w:left w:w="120" w:type="dxa"/>
              <w:right w:w="120" w:type="dxa"/>
            </w:tcMar>
            <w:shd w:fill="F7F7F9"/>
          </w:tcPr>
          <w:p>
            <w:pPr>
              <w:spacing w:before="80" w:after="80" w:line="276" w:lineRule="auto"/>
            </w:pPr>
            <w:r>
              <w:rPr>
                <w:rFonts w:ascii="Calibri" w:hAnsi="Calibri"/>
                <w:b/>
                <w:color w:val="282828"/>
                <w:sz w:val="20"/>
              </w:rPr>
              <w:t>Calculateur TCO au Kilomètre</w:t>
            </w:r>
          </w:p>
        </w:tc>
        <w:tc>
          <w:tcPr>
            <w:tcW w:type="dxa" w:w="2340"/>
            <w:tcMar>
              <w:top w:w="100" w:type="dxa"/>
              <w:bottom w:w="100" w:type="dxa"/>
              <w:left w:w="120" w:type="dxa"/>
              <w:right w:w="120" w:type="dxa"/>
            </w:tcMar>
            <w:shd w:fill="F7F7F9"/>
          </w:tcPr>
          <w:p>
            <w:pPr>
              <w:spacing w:before="80" w:after="80" w:line="276" w:lineRule="auto"/>
            </w:pPr>
            <w:r>
              <w:rPr>
                <w:rFonts w:ascii="Calibri" w:hAnsi="Calibri"/>
                <w:color w:val="282828"/>
                <w:sz w:val="20"/>
              </w:rPr>
              <w:t>Formule de TCO temps réel et graphiques financiers de base (Recharts).</w:t>
            </w:r>
          </w:p>
        </w:tc>
        <w:tc>
          <w:tcPr>
            <w:tcW w:type="dxa" w:w="2340"/>
            <w:tcMar>
              <w:top w:w="100" w:type="dxa"/>
              <w:bottom w:w="100" w:type="dxa"/>
              <w:left w:w="120" w:type="dxa"/>
              <w:right w:w="120" w:type="dxa"/>
            </w:tcMar>
            <w:shd w:fill="F7F7F9"/>
          </w:tcPr>
          <w:p>
            <w:pPr>
              <w:spacing w:before="80" w:after="80" w:line="276" w:lineRule="auto"/>
            </w:pPr>
            <w:r>
              <w:rPr>
                <w:rFonts w:ascii="Calibri" w:hAnsi="Calibri"/>
                <w:b/>
                <w:color w:val="282828"/>
                <w:sz w:val="20"/>
              </w:rPr>
              <w:t>Haute</w:t>
            </w:r>
          </w:p>
        </w:tc>
        <w:tc>
          <w:tcPr>
            <w:tcW w:type="dxa" w:w="2340"/>
            <w:tcMar>
              <w:top w:w="100" w:type="dxa"/>
              <w:bottom w:w="100" w:type="dxa"/>
              <w:left w:w="120" w:type="dxa"/>
              <w:right w:w="120" w:type="dxa"/>
            </w:tcMar>
            <w:shd w:fill="F7F7F9"/>
          </w:tcPr>
          <w:p>
            <w:pPr>
              <w:spacing w:before="80" w:after="80" w:line="276" w:lineRule="auto"/>
            </w:pPr>
            <w:r>
              <w:rPr>
                <w:rFonts w:ascii="Calibri" w:hAnsi="Calibri"/>
                <w:b/>
                <w:color w:val="282828"/>
                <w:sz w:val="20"/>
              </w:rPr>
              <w:t>Non.</w:t>
            </w:r>
            <w:r>
              <w:rPr>
                <w:rFonts w:ascii="Calibri" w:hAnsi="Calibri"/>
                <w:color w:val="282828"/>
                <w:sz w:val="20"/>
              </w:rPr>
              <w:t xml:space="preserve"> C'est la proposition de valeur fintech phare de l'application (le cœur analytique).</w:t>
            </w:r>
          </w:p>
        </w:tc>
      </w:tr>
      <w:tr>
        <w:tc>
          <w:tcPr>
            <w:tcW w:type="dxa" w:w="2340"/>
            <w:tcMar>
              <w:top w:w="100" w:type="dxa"/>
              <w:bottom w:w="100" w:type="dxa"/>
              <w:left w:w="120" w:type="dxa"/>
              <w:right w:w="120" w:type="dxa"/>
            </w:tcMar>
          </w:tcPr>
          <w:p>
            <w:pPr>
              <w:spacing w:before="80" w:after="80" w:line="276" w:lineRule="auto"/>
            </w:pPr>
            <w:r>
              <w:rPr>
                <w:rFonts w:ascii="Calibri" w:hAnsi="Calibri"/>
                <w:b/>
                <w:color w:val="282828"/>
                <w:sz w:val="20"/>
              </w:rPr>
              <w:t>Sécurité PostgreSQL &amp; RLS</w:t>
            </w:r>
          </w:p>
        </w:tc>
        <w:tc>
          <w:tcPr>
            <w:tcW w:type="dxa" w:w="2340"/>
            <w:tcMar>
              <w:top w:w="100" w:type="dxa"/>
              <w:bottom w:w="100" w:type="dxa"/>
              <w:left w:w="120" w:type="dxa"/>
              <w:right w:w="120" w:type="dxa"/>
            </w:tcMar>
          </w:tcPr>
          <w:p>
            <w:pPr>
              <w:spacing w:before="80" w:after="80" w:line="276" w:lineRule="auto"/>
            </w:pPr>
            <w:r>
              <w:rPr>
                <w:rFonts w:ascii="Calibri" w:hAnsi="Calibri"/>
                <w:color w:val="282828"/>
                <w:sz w:val="20"/>
              </w:rPr>
              <w:t xml:space="preserve">Isolation totale des utilisateurs par clause </w:t>
            </w:r>
            <w:r>
              <w:rPr>
                <w:rFonts w:ascii="Calibri" w:hAnsi="Calibri"/>
                <w:color w:val="282828"/>
                <w:sz w:val="20"/>
              </w:rPr>
              <w:t>auth.uid() = user_id</w:t>
            </w:r>
            <w:r>
              <w:rPr>
                <w:rFonts w:ascii="Calibri" w:hAnsi="Calibri"/>
                <w:color w:val="282828"/>
                <w:sz w:val="20"/>
              </w:rPr>
              <w:t>.</w:t>
            </w:r>
          </w:p>
        </w:tc>
        <w:tc>
          <w:tcPr>
            <w:tcW w:type="dxa" w:w="2340"/>
            <w:tcMar>
              <w:top w:w="100" w:type="dxa"/>
              <w:bottom w:w="100" w:type="dxa"/>
              <w:left w:w="120" w:type="dxa"/>
              <w:right w:w="120" w:type="dxa"/>
            </w:tcMar>
          </w:tcPr>
          <w:p>
            <w:pPr>
              <w:spacing w:before="80" w:after="80" w:line="276" w:lineRule="auto"/>
            </w:pPr>
            <w:r>
              <w:rPr>
                <w:rFonts w:ascii="Calibri" w:hAnsi="Calibri"/>
                <w:b/>
                <w:color w:val="282828"/>
                <w:sz w:val="20"/>
              </w:rPr>
              <w:t>Haute</w:t>
            </w:r>
          </w:p>
        </w:tc>
        <w:tc>
          <w:tcPr>
            <w:tcW w:type="dxa" w:w="2340"/>
            <w:tcMar>
              <w:top w:w="100" w:type="dxa"/>
              <w:bottom w:w="100" w:type="dxa"/>
              <w:left w:w="120" w:type="dxa"/>
              <w:right w:w="120" w:type="dxa"/>
            </w:tcMar>
          </w:tcPr>
          <w:p>
            <w:pPr>
              <w:spacing w:before="80" w:after="80" w:line="276" w:lineRule="auto"/>
            </w:pPr>
            <w:r>
              <w:rPr>
                <w:rFonts w:ascii="Calibri" w:hAnsi="Calibri"/>
                <w:b/>
                <w:color w:val="282828"/>
                <w:sz w:val="20"/>
              </w:rPr>
              <w:t>Non.</w:t>
            </w:r>
            <w:r>
              <w:rPr>
                <w:rFonts w:ascii="Calibri" w:hAnsi="Calibri"/>
                <w:color w:val="282828"/>
                <w:sz w:val="20"/>
              </w:rPr>
              <w:t xml:space="preserve"> Faille de confidentialité immédiate en cas de retrait. Non négociable.</w:t>
            </w:r>
          </w:p>
        </w:tc>
      </w:tr>
      <w:tr>
        <w:tc>
          <w:tcPr>
            <w:tcW w:type="dxa" w:w="2340"/>
            <w:tcMar>
              <w:top w:w="100" w:type="dxa"/>
              <w:bottom w:w="100" w:type="dxa"/>
              <w:left w:w="120" w:type="dxa"/>
              <w:right w:w="120" w:type="dxa"/>
            </w:tcMar>
            <w:shd w:fill="F7F7F9"/>
          </w:tcPr>
          <w:p>
            <w:pPr>
              <w:spacing w:before="80" w:after="80" w:line="276" w:lineRule="auto"/>
            </w:pPr>
            <w:r>
              <w:rPr>
                <w:rFonts w:ascii="Calibri" w:hAnsi="Calibri"/>
                <w:b/>
                <w:color w:val="282828"/>
                <w:sz w:val="20"/>
              </w:rPr>
              <w:t>Scan de Reçus par OCR</w:t>
            </w:r>
          </w:p>
        </w:tc>
        <w:tc>
          <w:tcPr>
            <w:tcW w:type="dxa" w:w="2340"/>
            <w:tcMar>
              <w:top w:w="100" w:type="dxa"/>
              <w:bottom w:w="100" w:type="dxa"/>
              <w:left w:w="120" w:type="dxa"/>
              <w:right w:w="120" w:type="dxa"/>
            </w:tcMar>
            <w:shd w:fill="F7F7F9"/>
          </w:tcPr>
          <w:p>
            <w:pPr>
              <w:spacing w:before="80" w:after="80" w:line="276" w:lineRule="auto"/>
            </w:pPr>
            <w:r>
              <w:rPr>
                <w:rFonts w:ascii="Calibri" w:hAnsi="Calibri"/>
                <w:color w:val="282828"/>
                <w:sz w:val="20"/>
              </w:rPr>
              <w:t>Analyse de tickets par Google Vision et pré-remplissage automatique.</w:t>
            </w:r>
          </w:p>
        </w:tc>
        <w:tc>
          <w:tcPr>
            <w:tcW w:type="dxa" w:w="2340"/>
            <w:tcMar>
              <w:top w:w="100" w:type="dxa"/>
              <w:bottom w:w="100" w:type="dxa"/>
              <w:left w:w="120" w:type="dxa"/>
              <w:right w:w="120" w:type="dxa"/>
            </w:tcMar>
            <w:shd w:fill="F7F7F9"/>
          </w:tcPr>
          <w:p>
            <w:pPr>
              <w:spacing w:before="80" w:after="80" w:line="276" w:lineRule="auto"/>
            </w:pPr>
            <w:r>
              <w:rPr>
                <w:rFonts w:ascii="Calibri" w:hAnsi="Calibri"/>
                <w:i/>
                <w:color w:val="282828"/>
                <w:sz w:val="20"/>
              </w:rPr>
              <w:t>Moyenne</w:t>
            </w:r>
          </w:p>
        </w:tc>
        <w:tc>
          <w:tcPr>
            <w:tcW w:type="dxa" w:w="2340"/>
            <w:tcMar>
              <w:top w:w="100" w:type="dxa"/>
              <w:bottom w:w="100" w:type="dxa"/>
              <w:left w:w="120" w:type="dxa"/>
              <w:right w:w="120" w:type="dxa"/>
            </w:tcMar>
            <w:shd w:fill="F7F7F9"/>
          </w:tcPr>
          <w:p>
            <w:pPr>
              <w:spacing w:before="80" w:after="80" w:line="276" w:lineRule="auto"/>
            </w:pPr>
            <w:r>
              <w:rPr>
                <w:rFonts w:ascii="Calibri" w:hAnsi="Calibri"/>
                <w:b/>
                <w:color w:val="282828"/>
                <w:sz w:val="20"/>
              </w:rPr>
              <w:t>Oui.</w:t>
            </w:r>
            <w:r>
              <w:rPr>
                <w:rFonts w:ascii="Calibri" w:hAnsi="Calibri"/>
                <w:color w:val="282828"/>
                <w:sz w:val="20"/>
              </w:rPr>
              <w:t xml:space="preserve"> Le MVP tourne avec la saisie manuelle. L'OCR est une automatisation de confort.</w:t>
            </w:r>
          </w:p>
        </w:tc>
      </w:tr>
      <w:tr>
        <w:tc>
          <w:tcPr>
            <w:tcW w:type="dxa" w:w="2340"/>
            <w:tcMar>
              <w:top w:w="100" w:type="dxa"/>
              <w:bottom w:w="100" w:type="dxa"/>
              <w:left w:w="120" w:type="dxa"/>
              <w:right w:w="120" w:type="dxa"/>
            </w:tcMar>
          </w:tcPr>
          <w:p>
            <w:pPr>
              <w:spacing w:before="80" w:after="80" w:line="276" w:lineRule="auto"/>
            </w:pPr>
            <w:r>
              <w:rPr>
                <w:rFonts w:ascii="Calibri" w:hAnsi="Calibri"/>
                <w:b/>
                <w:color w:val="282828"/>
                <w:sz w:val="20"/>
              </w:rPr>
              <w:t>Export Certifié du Carnet (PDF)</w:t>
            </w:r>
          </w:p>
        </w:tc>
        <w:tc>
          <w:tcPr>
            <w:tcW w:type="dxa" w:w="2340"/>
            <w:tcMar>
              <w:top w:w="100" w:type="dxa"/>
              <w:bottom w:w="100" w:type="dxa"/>
              <w:left w:w="120" w:type="dxa"/>
              <w:right w:w="120" w:type="dxa"/>
            </w:tcMar>
          </w:tcPr>
          <w:p>
            <w:pPr>
              <w:spacing w:before="80" w:after="80" w:line="276" w:lineRule="auto"/>
            </w:pPr>
            <w:r>
              <w:rPr>
                <w:rFonts w:ascii="Calibri" w:hAnsi="Calibri"/>
                <w:color w:val="282828"/>
                <w:sz w:val="20"/>
              </w:rPr>
              <w:t>Génération de PDF immuable signé cryptographiquement.</w:t>
            </w:r>
          </w:p>
        </w:tc>
        <w:tc>
          <w:tcPr>
            <w:tcW w:type="dxa" w:w="2340"/>
            <w:tcMar>
              <w:top w:w="100" w:type="dxa"/>
              <w:bottom w:w="100" w:type="dxa"/>
              <w:left w:w="120" w:type="dxa"/>
              <w:right w:w="120" w:type="dxa"/>
            </w:tcMar>
          </w:tcPr>
          <w:p>
            <w:pPr>
              <w:spacing w:before="80" w:after="80" w:line="276" w:lineRule="auto"/>
            </w:pPr>
            <w:r>
              <w:rPr>
                <w:rFonts w:ascii="Calibri" w:hAnsi="Calibri"/>
                <w:i/>
                <w:color w:val="282828"/>
                <w:sz w:val="20"/>
              </w:rPr>
              <w:t>Moyenne</w:t>
            </w:r>
          </w:p>
        </w:tc>
        <w:tc>
          <w:tcPr>
            <w:tcW w:type="dxa" w:w="2340"/>
            <w:tcMar>
              <w:top w:w="100" w:type="dxa"/>
              <w:bottom w:w="100" w:type="dxa"/>
              <w:left w:w="120" w:type="dxa"/>
              <w:right w:w="120" w:type="dxa"/>
            </w:tcMar>
          </w:tcPr>
          <w:p>
            <w:pPr>
              <w:spacing w:before="80" w:after="80" w:line="276" w:lineRule="auto"/>
            </w:pPr>
            <w:r>
              <w:rPr>
                <w:rFonts w:ascii="Calibri" w:hAnsi="Calibri"/>
                <w:b/>
                <w:color w:val="282828"/>
                <w:sz w:val="20"/>
              </w:rPr>
              <w:t>Oui.</w:t>
            </w:r>
            <w:r>
              <w:rPr>
                <w:rFonts w:ascii="Calibri" w:hAnsi="Calibri"/>
                <w:color w:val="282828"/>
                <w:sz w:val="20"/>
              </w:rPr>
              <w:t xml:space="preserve"> L'historique reste consultable à l'écran. L'export papier est secondaire pour le test.</w:t>
            </w:r>
          </w:p>
        </w:tc>
      </w:tr>
      <w:tr>
        <w:tc>
          <w:tcPr>
            <w:tcW w:type="dxa" w:w="2340"/>
            <w:tcMar>
              <w:top w:w="100" w:type="dxa"/>
              <w:bottom w:w="100" w:type="dxa"/>
              <w:left w:w="120" w:type="dxa"/>
              <w:right w:w="120" w:type="dxa"/>
            </w:tcMar>
            <w:shd w:fill="F7F7F9"/>
          </w:tcPr>
          <w:p>
            <w:pPr>
              <w:spacing w:before="80" w:after="80" w:line="276" w:lineRule="auto"/>
            </w:pPr>
            <w:r>
              <w:rPr>
                <w:rFonts w:ascii="Calibri" w:hAnsi="Calibri"/>
                <w:b/>
                <w:color w:val="282828"/>
                <w:sz w:val="20"/>
              </w:rPr>
              <w:t>Abonnement Stripe Pro</w:t>
            </w:r>
          </w:p>
        </w:tc>
        <w:tc>
          <w:tcPr>
            <w:tcW w:type="dxa" w:w="2340"/>
            <w:tcMar>
              <w:top w:w="100" w:type="dxa"/>
              <w:bottom w:w="100" w:type="dxa"/>
              <w:left w:w="120" w:type="dxa"/>
              <w:right w:w="120" w:type="dxa"/>
            </w:tcMar>
            <w:shd w:fill="F7F7F9"/>
          </w:tcPr>
          <w:p>
            <w:pPr>
              <w:spacing w:before="80" w:after="80" w:line="276" w:lineRule="auto"/>
            </w:pPr>
            <w:r>
              <w:rPr>
                <w:rFonts w:ascii="Calibri" w:hAnsi="Calibri"/>
                <w:color w:val="282828"/>
                <w:sz w:val="20"/>
              </w:rPr>
              <w:t>Intégration de Stripe Checkout et du portail de paiement de base.</w:t>
            </w:r>
          </w:p>
        </w:tc>
        <w:tc>
          <w:tcPr>
            <w:tcW w:type="dxa" w:w="2340"/>
            <w:tcMar>
              <w:top w:w="100" w:type="dxa"/>
              <w:bottom w:w="100" w:type="dxa"/>
              <w:left w:w="120" w:type="dxa"/>
              <w:right w:w="120" w:type="dxa"/>
            </w:tcMar>
            <w:shd w:fill="F7F7F9"/>
          </w:tcPr>
          <w:p>
            <w:pPr>
              <w:spacing w:before="80" w:after="80" w:line="276" w:lineRule="auto"/>
            </w:pPr>
            <w:r>
              <w:rPr>
                <w:rFonts w:ascii="Calibri" w:hAnsi="Calibri"/>
                <w:i/>
                <w:color w:val="282828"/>
                <w:sz w:val="20"/>
              </w:rPr>
              <w:t>Moyenne</w:t>
            </w:r>
          </w:p>
        </w:tc>
        <w:tc>
          <w:tcPr>
            <w:tcW w:type="dxa" w:w="2340"/>
            <w:tcMar>
              <w:top w:w="100" w:type="dxa"/>
              <w:bottom w:w="100" w:type="dxa"/>
              <w:left w:w="120" w:type="dxa"/>
              <w:right w:w="120" w:type="dxa"/>
            </w:tcMar>
            <w:shd w:fill="F7F7F9"/>
          </w:tcPr>
          <w:p>
            <w:pPr>
              <w:spacing w:before="80" w:after="80" w:line="276" w:lineRule="auto"/>
            </w:pPr>
            <w:r>
              <w:rPr>
                <w:rFonts w:ascii="Calibri" w:hAnsi="Calibri"/>
                <w:b/>
                <w:color w:val="282828"/>
                <w:sz w:val="20"/>
              </w:rPr>
              <w:t>Oui.</w:t>
            </w:r>
            <w:r>
              <w:rPr>
                <w:rFonts w:ascii="Calibri" w:hAnsi="Calibri"/>
                <w:color w:val="282828"/>
                <w:sz w:val="20"/>
              </w:rPr>
              <w:t xml:space="preserve"> Le produit peut démarrer avec un essai gratuit généralisé de 30 jours.</w:t>
            </w:r>
          </w:p>
        </w:tc>
      </w:tr>
      <w:tr>
        <w:tc>
          <w:tcPr>
            <w:tcW w:type="dxa" w:w="2340"/>
            <w:tcMar>
              <w:top w:w="100" w:type="dxa"/>
              <w:bottom w:w="100" w:type="dxa"/>
              <w:left w:w="120" w:type="dxa"/>
              <w:right w:w="120" w:type="dxa"/>
            </w:tcMar>
          </w:tcPr>
          <w:p>
            <w:pPr>
              <w:spacing w:before="80" w:after="80" w:line="276" w:lineRule="auto"/>
            </w:pPr>
            <w:r>
              <w:rPr>
                <w:rFonts w:ascii="Calibri" w:hAnsi="Calibri"/>
                <w:b/>
                <w:color w:val="282828"/>
                <w:sz w:val="20"/>
              </w:rPr>
              <w:t>Carte Mapbox Interactive</w:t>
            </w:r>
          </w:p>
        </w:tc>
        <w:tc>
          <w:tcPr>
            <w:tcW w:type="dxa" w:w="2340"/>
            <w:tcMar>
              <w:top w:w="100" w:type="dxa"/>
              <w:bottom w:w="100" w:type="dxa"/>
              <w:left w:w="120" w:type="dxa"/>
              <w:right w:w="120" w:type="dxa"/>
            </w:tcMar>
          </w:tcPr>
          <w:p>
            <w:pPr>
              <w:spacing w:before="80" w:after="80" w:line="276" w:lineRule="auto"/>
            </w:pPr>
            <w:r>
              <w:rPr>
                <w:rFonts w:ascii="Calibri" w:hAnsi="Calibri"/>
                <w:color w:val="282828"/>
                <w:sz w:val="20"/>
              </w:rPr>
              <w:t>Stations à proximité, bornes de recharges et garages partenaires.</w:t>
            </w:r>
          </w:p>
        </w:tc>
        <w:tc>
          <w:tcPr>
            <w:tcW w:type="dxa" w:w="2340"/>
            <w:tcMar>
              <w:top w:w="100" w:type="dxa"/>
              <w:bottom w:w="100" w:type="dxa"/>
              <w:left w:w="120" w:type="dxa"/>
              <w:right w:w="120" w:type="dxa"/>
            </w:tcMar>
          </w:tcPr>
          <w:p>
            <w:pPr>
              <w:spacing w:before="80" w:after="80" w:line="276" w:lineRule="auto"/>
            </w:pPr>
            <w:r>
              <w:rPr>
                <w:rFonts w:ascii="Calibri" w:hAnsi="Calibri"/>
                <w:i/>
                <w:color w:val="282828"/>
                <w:sz w:val="20"/>
              </w:rPr>
              <w:t>Moyenne</w:t>
            </w:r>
          </w:p>
        </w:tc>
        <w:tc>
          <w:tcPr>
            <w:tcW w:type="dxa" w:w="2340"/>
            <w:tcMar>
              <w:top w:w="100" w:type="dxa"/>
              <w:bottom w:w="100" w:type="dxa"/>
              <w:left w:w="120" w:type="dxa"/>
              <w:right w:w="120" w:type="dxa"/>
            </w:tcMar>
          </w:tcPr>
          <w:p>
            <w:pPr>
              <w:spacing w:before="80" w:after="80" w:line="276" w:lineRule="auto"/>
            </w:pPr>
            <w:r>
              <w:rPr>
                <w:rFonts w:ascii="Calibri" w:hAnsi="Calibri"/>
                <w:b/>
                <w:color w:val="282828"/>
                <w:sz w:val="20"/>
              </w:rPr>
              <w:t>Oui.</w:t>
            </w:r>
            <w:r>
              <w:rPr>
                <w:rFonts w:ascii="Calibri" w:hAnsi="Calibri"/>
                <w:color w:val="282828"/>
                <w:sz w:val="20"/>
              </w:rPr>
              <w:t xml:space="preserve"> L'utilisateur peut logger ses dépenses même sans passer par la cartographie locale.</w:t>
            </w:r>
          </w:p>
        </w:tc>
      </w:tr>
      <w:tr>
        <w:tc>
          <w:tcPr>
            <w:tcW w:type="dxa" w:w="2340"/>
            <w:tcMar>
              <w:top w:w="100" w:type="dxa"/>
              <w:bottom w:w="100" w:type="dxa"/>
              <w:left w:w="120" w:type="dxa"/>
              <w:right w:w="120" w:type="dxa"/>
            </w:tcMar>
            <w:shd w:fill="F7F7F9"/>
          </w:tcPr>
          <w:p>
            <w:pPr>
              <w:spacing w:before="80" w:after="80" w:line="276" w:lineRule="auto"/>
            </w:pPr>
            <w:r>
              <w:rPr>
                <w:rFonts w:ascii="Calibri" w:hAnsi="Calibri"/>
                <w:b/>
                <w:color w:val="282828"/>
                <w:sz w:val="20"/>
              </w:rPr>
              <w:t>Intelligence Prédictive PHM</w:t>
            </w:r>
          </w:p>
        </w:tc>
        <w:tc>
          <w:tcPr>
            <w:tcW w:type="dxa" w:w="2340"/>
            <w:tcMar>
              <w:top w:w="100" w:type="dxa"/>
              <w:bottom w:w="100" w:type="dxa"/>
              <w:left w:w="120" w:type="dxa"/>
              <w:right w:w="120" w:type="dxa"/>
            </w:tcMar>
            <w:shd w:fill="F7F7F9"/>
          </w:tcPr>
          <w:p>
            <w:pPr>
              <w:spacing w:before="80" w:after="80" w:line="276" w:lineRule="auto"/>
            </w:pPr>
            <w:r>
              <w:rPr>
                <w:rFonts w:ascii="Calibri" w:hAnsi="Calibri"/>
                <w:color w:val="282828"/>
                <w:sz w:val="20"/>
              </w:rPr>
              <w:t>Estimation de l'usure de pièces (modèles de Weibull et Z-Score OBD).</w:t>
            </w:r>
          </w:p>
        </w:tc>
        <w:tc>
          <w:tcPr>
            <w:tcW w:type="dxa" w:w="2340"/>
            <w:tcMar>
              <w:top w:w="100" w:type="dxa"/>
              <w:bottom w:w="100" w:type="dxa"/>
              <w:left w:w="120" w:type="dxa"/>
              <w:right w:w="120" w:type="dxa"/>
            </w:tcMar>
            <w:shd w:fill="F7F7F9"/>
          </w:tcPr>
          <w:p>
            <w:pPr>
              <w:spacing w:before="80" w:after="80" w:line="276" w:lineRule="auto"/>
            </w:pPr>
            <w:r>
              <w:rPr>
                <w:rFonts w:ascii="Calibri" w:hAnsi="Calibri"/>
                <w:i/>
                <w:color w:val="282828"/>
                <w:sz w:val="20"/>
              </w:rPr>
              <w:t>Basse</w:t>
            </w:r>
          </w:p>
        </w:tc>
        <w:tc>
          <w:tcPr>
            <w:tcW w:type="dxa" w:w="2340"/>
            <w:tcMar>
              <w:top w:w="100" w:type="dxa"/>
              <w:bottom w:w="100" w:type="dxa"/>
              <w:left w:w="120" w:type="dxa"/>
              <w:right w:w="120" w:type="dxa"/>
            </w:tcMar>
            <w:shd w:fill="F7F7F9"/>
          </w:tcPr>
          <w:p>
            <w:pPr>
              <w:spacing w:before="80" w:after="80" w:line="276" w:lineRule="auto"/>
            </w:pPr>
            <w:r>
              <w:rPr>
                <w:rFonts w:ascii="Calibri" w:hAnsi="Calibri"/>
                <w:b/>
                <w:color w:val="282828"/>
                <w:sz w:val="20"/>
              </w:rPr>
              <w:t>Oui.</w:t>
            </w:r>
            <w:r>
              <w:rPr>
                <w:rFonts w:ascii="Calibri" w:hAnsi="Calibri"/>
                <w:color w:val="282828"/>
                <w:sz w:val="20"/>
              </w:rPr>
              <w:t xml:space="preserve"> Des rappels d'entretien fixes ou basés sur le kilométrage constructeur suffisent.</w:t>
            </w:r>
          </w:p>
        </w:tc>
      </w:tr>
      <w:tr>
        <w:tc>
          <w:tcPr>
            <w:tcW w:type="dxa" w:w="2340"/>
            <w:tcMar>
              <w:top w:w="100" w:type="dxa"/>
              <w:bottom w:w="100" w:type="dxa"/>
              <w:left w:w="120" w:type="dxa"/>
              <w:right w:w="120" w:type="dxa"/>
            </w:tcMar>
          </w:tcPr>
          <w:p>
            <w:pPr>
              <w:spacing w:before="80" w:after="80" w:line="276" w:lineRule="auto"/>
            </w:pPr>
            <w:r>
              <w:rPr>
                <w:rFonts w:ascii="Calibri" w:hAnsi="Calibri"/>
                <w:b/>
                <w:color w:val="282828"/>
                <w:sz w:val="20"/>
              </w:rPr>
              <w:t>Réseau de Garages B2B</w:t>
            </w:r>
          </w:p>
        </w:tc>
        <w:tc>
          <w:tcPr>
            <w:tcW w:type="dxa" w:w="2340"/>
            <w:tcMar>
              <w:top w:w="100" w:type="dxa"/>
              <w:bottom w:w="100" w:type="dxa"/>
              <w:left w:w="120" w:type="dxa"/>
              <w:right w:w="120" w:type="dxa"/>
            </w:tcMar>
          </w:tcPr>
          <w:p>
            <w:pPr>
              <w:spacing w:before="80" w:after="80" w:line="276" w:lineRule="auto"/>
            </w:pPr>
            <w:r>
              <w:rPr>
                <w:rFonts w:ascii="Calibri" w:hAnsi="Calibri"/>
                <w:color w:val="282828"/>
                <w:sz w:val="20"/>
              </w:rPr>
              <w:t>Mise en avant de garages et prise de rendez-vous avec commission.</w:t>
            </w:r>
          </w:p>
        </w:tc>
        <w:tc>
          <w:tcPr>
            <w:tcW w:type="dxa" w:w="2340"/>
            <w:tcMar>
              <w:top w:w="100" w:type="dxa"/>
              <w:bottom w:w="100" w:type="dxa"/>
              <w:left w:w="120" w:type="dxa"/>
              <w:right w:w="120" w:type="dxa"/>
            </w:tcMar>
          </w:tcPr>
          <w:p>
            <w:pPr>
              <w:spacing w:before="80" w:after="80" w:line="276" w:lineRule="auto"/>
            </w:pPr>
            <w:r>
              <w:rPr>
                <w:rFonts w:ascii="Calibri" w:hAnsi="Calibri"/>
                <w:i/>
                <w:color w:val="282828"/>
                <w:sz w:val="20"/>
              </w:rPr>
              <w:t>Basse</w:t>
            </w:r>
          </w:p>
        </w:tc>
        <w:tc>
          <w:tcPr>
            <w:tcW w:type="dxa" w:w="2340"/>
            <w:tcMar>
              <w:top w:w="100" w:type="dxa"/>
              <w:bottom w:w="100" w:type="dxa"/>
              <w:left w:w="120" w:type="dxa"/>
              <w:right w:w="120" w:type="dxa"/>
            </w:tcMar>
          </w:tcPr>
          <w:p>
            <w:pPr>
              <w:spacing w:before="80" w:after="80" w:line="276" w:lineRule="auto"/>
            </w:pPr>
            <w:r>
              <w:rPr>
                <w:rFonts w:ascii="Calibri" w:hAnsi="Calibri"/>
                <w:b/>
                <w:color w:val="282828"/>
                <w:sz w:val="20"/>
              </w:rPr>
              <w:t>Oui.</w:t>
            </w:r>
            <w:r>
              <w:rPr>
                <w:rFonts w:ascii="Calibri" w:hAnsi="Calibri"/>
                <w:color w:val="282828"/>
                <w:sz w:val="20"/>
              </w:rPr>
              <w:t xml:space="preserve"> Modèle de monétisation indirect B2B qui sera testé après consolidation de la base B2C.</w:t>
            </w:r>
          </w:p>
        </w:tc>
      </w:tr>
      <w:tr>
        <w:tc>
          <w:tcPr>
            <w:tcW w:type="dxa" w:w="2340"/>
            <w:tcMar>
              <w:top w:w="100" w:type="dxa"/>
              <w:bottom w:w="100" w:type="dxa"/>
              <w:left w:w="120" w:type="dxa"/>
              <w:right w:w="120" w:type="dxa"/>
            </w:tcMar>
            <w:shd w:fill="F7F7F9"/>
          </w:tcPr>
          <w:p>
            <w:pPr>
              <w:spacing w:before="80" w:after="80" w:line="276" w:lineRule="auto"/>
            </w:pPr>
            <w:r>
              <w:rPr>
                <w:rFonts w:ascii="Calibri" w:hAnsi="Calibri"/>
                <w:b/>
                <w:color w:val="282828"/>
                <w:sz w:val="20"/>
              </w:rPr>
              <w:t>next-intl Multilingue &amp; RTL</w:t>
            </w:r>
          </w:p>
        </w:tc>
        <w:tc>
          <w:tcPr>
            <w:tcW w:type="dxa" w:w="2340"/>
            <w:tcMar>
              <w:top w:w="100" w:type="dxa"/>
              <w:bottom w:w="100" w:type="dxa"/>
              <w:left w:w="120" w:type="dxa"/>
              <w:right w:w="120" w:type="dxa"/>
            </w:tcMar>
            <w:shd w:fill="F7F7F9"/>
          </w:tcPr>
          <w:p>
            <w:pPr>
              <w:spacing w:before="80" w:after="80" w:line="276" w:lineRule="auto"/>
            </w:pPr>
            <w:r>
              <w:rPr>
                <w:rFonts w:ascii="Calibri" w:hAnsi="Calibri"/>
                <w:color w:val="282828"/>
                <w:sz w:val="20"/>
              </w:rPr>
              <w:t>Support de l'Espagnol, du Portugais et de l'Arabe (RTL).</w:t>
            </w:r>
          </w:p>
        </w:tc>
        <w:tc>
          <w:tcPr>
            <w:tcW w:type="dxa" w:w="2340"/>
            <w:tcMar>
              <w:top w:w="100" w:type="dxa"/>
              <w:bottom w:w="100" w:type="dxa"/>
              <w:left w:w="120" w:type="dxa"/>
              <w:right w:w="120" w:type="dxa"/>
            </w:tcMar>
            <w:shd w:fill="F7F7F9"/>
          </w:tcPr>
          <w:p>
            <w:pPr>
              <w:spacing w:before="80" w:after="80" w:line="276" w:lineRule="auto"/>
            </w:pPr>
            <w:r>
              <w:rPr>
                <w:rFonts w:ascii="Calibri" w:hAnsi="Calibri"/>
                <w:i/>
                <w:color w:val="282828"/>
                <w:sz w:val="20"/>
              </w:rPr>
              <w:t>Basse</w:t>
            </w:r>
          </w:p>
        </w:tc>
        <w:tc>
          <w:tcPr>
            <w:tcW w:type="dxa" w:w="2340"/>
            <w:tcMar>
              <w:top w:w="100" w:type="dxa"/>
              <w:bottom w:w="100" w:type="dxa"/>
              <w:left w:w="120" w:type="dxa"/>
              <w:right w:w="120" w:type="dxa"/>
            </w:tcMar>
            <w:shd w:fill="F7F7F9"/>
          </w:tcPr>
          <w:p>
            <w:pPr>
              <w:spacing w:before="80" w:after="80" w:line="276" w:lineRule="auto"/>
            </w:pPr>
            <w:r>
              <w:rPr>
                <w:rFonts w:ascii="Calibri" w:hAnsi="Calibri"/>
                <w:b/>
                <w:color w:val="282828"/>
                <w:sz w:val="20"/>
              </w:rPr>
              <w:t>Oui.</w:t>
            </w:r>
            <w:r>
              <w:rPr>
                <w:rFonts w:ascii="Calibri" w:hAnsi="Calibri"/>
                <w:color w:val="282828"/>
                <w:sz w:val="20"/>
              </w:rPr>
              <w:t xml:space="preserve"> L'application peut valider le concept en lançant uniquement sur le marché Français.</w:t>
            </w:r>
          </w:p>
        </w:tc>
      </w:tr>
    </w:tbl>
    <w:p>
      <w:pPr>
        <w:spacing w:before="0" w:after="240" w:line="276" w:lineRule="auto"/>
      </w:pPr>
    </w:p>
    <w:p>
      <w:pPr>
        <w:spacing w:before="80" w:after="160" w:line="276" w:lineRule="auto"/>
      </w:pPr>
      <w:r>
        <w:rPr>
          <w:rFonts w:ascii="Calibri" w:hAnsi="Calibri"/>
          <w:color w:val="282828"/>
          <w:sz w:val="22"/>
        </w:rPr>
        <w:t>---</w:t>
      </w:r>
    </w:p>
    <w:p>
      <w:pPr>
        <w:spacing w:before="320" w:after="120" w:line="276" w:lineRule="auto"/>
      </w:pPr>
      <w:r>
        <w:rPr>
          <w:rFonts w:ascii="Georgia" w:hAnsi="Georgia"/>
          <w:b/>
          <w:color w:val="0A0E1A"/>
          <w:sz w:val="30"/>
        </w:rPr>
        <w:t>5. Spécifications Techniques</w:t>
      </w:r>
    </w:p>
    <w:p>
      <w:pPr>
        <w:spacing w:before="240" w:after="80" w:line="276" w:lineRule="auto"/>
      </w:pPr>
      <w:r>
        <w:rPr>
          <w:rFonts w:ascii="Calibri" w:hAnsi="Calibri"/>
          <w:b/>
          <w:color w:val="C5A059"/>
          <w:sz w:val="25"/>
        </w:rPr>
        <w:t>5.1. Stack Applicative</w:t>
      </w:r>
    </w:p>
    <w:p>
      <w:pPr>
        <w:spacing w:before="40" w:after="60" w:line="276" w:lineRule="auto"/>
        <w:ind w:left="360" w:hanging="360"/>
      </w:pPr>
      <w:r>
        <w:rPr>
          <w:rFonts w:ascii="Calibri" w:hAnsi="Calibri"/>
          <w:b/>
          <w:color w:val="C5A059"/>
          <w:sz w:val="22"/>
        </w:rPr>
        <w:t xml:space="preserve">•  </w:t>
      </w:r>
      <w:r>
        <w:rPr>
          <w:rFonts w:ascii="Calibri" w:hAnsi="Calibri"/>
          <w:b/>
          <w:color w:val="282828"/>
          <w:sz w:val="22"/>
        </w:rPr>
        <w:t>Frontend</w:t>
      </w:r>
      <w:r>
        <w:rPr>
          <w:rFonts w:ascii="Calibri" w:hAnsi="Calibri"/>
          <w:color w:val="282828"/>
          <w:sz w:val="22"/>
        </w:rPr>
        <w:t xml:space="preserve"> : Next.js 14 (App Router) + React 18, TypeScript, Tailwind CSS, Lucide React (Icônes), Recharts (Graphiques).</w:t>
      </w:r>
    </w:p>
    <w:p>
      <w:pPr>
        <w:spacing w:before="40" w:after="60" w:line="276" w:lineRule="auto"/>
        <w:ind w:left="360" w:hanging="360"/>
      </w:pPr>
      <w:r>
        <w:rPr>
          <w:rFonts w:ascii="Calibri" w:hAnsi="Calibri"/>
          <w:b/>
          <w:color w:val="C5A059"/>
          <w:sz w:val="22"/>
        </w:rPr>
        <w:t xml:space="preserve">•  </w:t>
      </w:r>
      <w:r>
        <w:rPr>
          <w:rFonts w:ascii="Calibri" w:hAnsi="Calibri"/>
          <w:b/>
          <w:color w:val="282828"/>
          <w:sz w:val="22"/>
        </w:rPr>
        <w:t>Internationalisation</w:t>
      </w:r>
      <w:r>
        <w:rPr>
          <w:rFonts w:ascii="Calibri" w:hAnsi="Calibri"/>
          <w:color w:val="282828"/>
          <w:sz w:val="22"/>
        </w:rPr>
        <w:t xml:space="preserve"> : </w:t>
      </w:r>
      <w:r>
        <w:rPr>
          <w:rFonts w:ascii="Calibri" w:hAnsi="Calibri"/>
          <w:color w:val="282828"/>
          <w:sz w:val="22"/>
        </w:rPr>
        <w:t>next-intl</w:t>
      </w:r>
      <w:r>
        <w:rPr>
          <w:rFonts w:ascii="Calibri" w:hAnsi="Calibri"/>
          <w:color w:val="282828"/>
          <w:sz w:val="22"/>
        </w:rPr>
        <w:t xml:space="preserve"> (FR, EN, ES, PT, AR). Support natif des langues à écriture bidirectionnelle (</w:t>
      </w:r>
      <w:r>
        <w:rPr>
          <w:rFonts w:ascii="Calibri" w:hAnsi="Calibri"/>
          <w:b/>
          <w:color w:val="282828"/>
          <w:sz w:val="22"/>
        </w:rPr>
        <w:t>RTL</w:t>
      </w:r>
      <w:r>
        <w:rPr>
          <w:rFonts w:ascii="Calibri" w:hAnsi="Calibri"/>
          <w:color w:val="282828"/>
          <w:sz w:val="22"/>
        </w:rPr>
        <w:t>) comme l'Arabe.</w:t>
      </w:r>
    </w:p>
    <w:p>
      <w:pPr>
        <w:spacing w:before="40" w:after="60" w:line="276" w:lineRule="auto"/>
        <w:ind w:left="360" w:hanging="360"/>
      </w:pPr>
      <w:r>
        <w:rPr>
          <w:rFonts w:ascii="Calibri" w:hAnsi="Calibri"/>
          <w:b/>
          <w:color w:val="C5A059"/>
          <w:sz w:val="22"/>
        </w:rPr>
        <w:t xml:space="preserve">•  </w:t>
      </w:r>
      <w:r>
        <w:rPr>
          <w:rFonts w:ascii="Calibri" w:hAnsi="Calibri"/>
          <w:b/>
          <w:color w:val="282828"/>
          <w:sz w:val="22"/>
        </w:rPr>
        <w:t>Base de Données &amp; Stockage</w:t>
      </w:r>
      <w:r>
        <w:rPr>
          <w:rFonts w:ascii="Calibri" w:hAnsi="Calibri"/>
          <w:color w:val="282828"/>
          <w:sz w:val="22"/>
        </w:rPr>
        <w:t xml:space="preserve"> : Supabase (PostgreSQL), buckets Supabase Storage chiffrés (</w:t>
      </w:r>
      <w:r>
        <w:rPr>
          <w:rFonts w:ascii="Calibri" w:hAnsi="Calibri"/>
          <w:color w:val="282828"/>
          <w:sz w:val="22"/>
        </w:rPr>
        <w:t>receipts</w:t>
      </w:r>
      <w:r>
        <w:rPr>
          <w:rFonts w:ascii="Calibri" w:hAnsi="Calibri"/>
          <w:color w:val="282828"/>
          <w:sz w:val="22"/>
        </w:rPr>
        <w:t xml:space="preserve">, </w:t>
      </w:r>
      <w:r>
        <w:rPr>
          <w:rFonts w:ascii="Calibri" w:hAnsi="Calibri"/>
          <w:color w:val="282828"/>
          <w:sz w:val="22"/>
        </w:rPr>
        <w:t>invoices</w:t>
      </w:r>
      <w:r>
        <w:rPr>
          <w:rFonts w:ascii="Calibri" w:hAnsi="Calibri"/>
          <w:color w:val="282828"/>
          <w:sz w:val="22"/>
        </w:rPr>
        <w:t xml:space="preserve">, </w:t>
      </w:r>
      <w:r>
        <w:rPr>
          <w:rFonts w:ascii="Calibri" w:hAnsi="Calibri"/>
          <w:color w:val="282828"/>
          <w:sz w:val="22"/>
        </w:rPr>
        <w:t>vehicle-photos</w:t>
      </w:r>
      <w:r>
        <w:rPr>
          <w:rFonts w:ascii="Calibri" w:hAnsi="Calibri"/>
          <w:color w:val="282828"/>
          <w:sz w:val="22"/>
        </w:rPr>
        <w:t xml:space="preserve">, </w:t>
      </w:r>
      <w:r>
        <w:rPr>
          <w:rFonts w:ascii="Calibri" w:hAnsi="Calibri"/>
          <w:color w:val="282828"/>
          <w:sz w:val="22"/>
        </w:rPr>
        <w:t>avatars</w:t>
      </w:r>
      <w:r>
        <w:rPr>
          <w:rFonts w:ascii="Calibri" w:hAnsi="Calibri"/>
          <w:color w:val="282828"/>
          <w:sz w:val="22"/>
        </w:rPr>
        <w:t>).</w:t>
      </w:r>
    </w:p>
    <w:p>
      <w:pPr>
        <w:spacing w:before="40" w:after="60" w:line="276" w:lineRule="auto"/>
        <w:ind w:left="360" w:hanging="360"/>
      </w:pPr>
      <w:r>
        <w:rPr>
          <w:rFonts w:ascii="Calibri" w:hAnsi="Calibri"/>
          <w:b/>
          <w:color w:val="C5A059"/>
          <w:sz w:val="22"/>
        </w:rPr>
        <w:t xml:space="preserve">•  </w:t>
      </w:r>
      <w:r>
        <w:rPr>
          <w:rFonts w:ascii="Calibri" w:hAnsi="Calibri"/>
          <w:b/>
          <w:color w:val="282828"/>
          <w:sz w:val="22"/>
        </w:rPr>
        <w:t>Cache &amp; Limiteur</w:t>
      </w:r>
      <w:r>
        <w:rPr>
          <w:rFonts w:ascii="Calibri" w:hAnsi="Calibri"/>
          <w:color w:val="282828"/>
          <w:sz w:val="22"/>
        </w:rPr>
        <w:t xml:space="preserve"> : Upstash Redis pour le rate-limiting HTTP et le cache du Lookup immatriculations.</w:t>
      </w:r>
    </w:p>
    <w:p>
      <w:pPr>
        <w:spacing w:before="240" w:after="80" w:line="276" w:lineRule="auto"/>
      </w:pPr>
      <w:r>
        <w:rPr>
          <w:rFonts w:ascii="Calibri" w:hAnsi="Calibri"/>
          <w:b/>
          <w:color w:val="C5A059"/>
          <w:sz w:val="25"/>
        </w:rPr>
        <w:t>5.2. Flux de Sécurité &amp; Robustesse</w:t>
      </w:r>
    </w:p>
    <w:p>
      <w:pPr>
        <w:spacing w:before="40" w:after="60" w:line="276" w:lineRule="auto"/>
        <w:ind w:left="360" w:hanging="360"/>
      </w:pPr>
      <w:r>
        <w:rPr>
          <w:rFonts w:ascii="Calibri" w:hAnsi="Calibri"/>
          <w:b/>
          <w:color w:val="C5A059"/>
          <w:sz w:val="22"/>
        </w:rPr>
        <w:t xml:space="preserve">•  </w:t>
      </w:r>
      <w:r>
        <w:rPr>
          <w:rFonts w:ascii="Calibri" w:hAnsi="Calibri"/>
          <w:b/>
          <w:color w:val="282828"/>
          <w:sz w:val="22"/>
        </w:rPr>
        <w:t>Headers de Sécurité (Strict HTTP)</w:t>
      </w:r>
      <w:r>
        <w:rPr>
          <w:rFonts w:ascii="Calibri" w:hAnsi="Calibri"/>
          <w:color w:val="282828"/>
          <w:sz w:val="22"/>
        </w:rPr>
        <w:t xml:space="preserve"> : CSP strict (Content Security Policy), HSTS (2 ans), X-Content-Type-Options (nosniff), X-Frame-Options (DENY), Referrer-Policy.</w:t>
      </w:r>
    </w:p>
    <w:p>
      <w:pPr>
        <w:spacing w:before="40" w:after="60" w:line="276" w:lineRule="auto"/>
        <w:ind w:left="360" w:hanging="360"/>
      </w:pPr>
      <w:r>
        <w:rPr>
          <w:rFonts w:ascii="Calibri" w:hAnsi="Calibri"/>
          <w:b/>
          <w:color w:val="C5A059"/>
          <w:sz w:val="22"/>
        </w:rPr>
        <w:t xml:space="preserve">•  </w:t>
      </w:r>
      <w:r>
        <w:rPr>
          <w:rFonts w:ascii="Calibri" w:hAnsi="Calibri"/>
          <w:b/>
          <w:color w:val="282828"/>
          <w:sz w:val="22"/>
        </w:rPr>
        <w:t>Row Level Security (RLS)</w:t>
      </w:r>
      <w:r>
        <w:rPr>
          <w:rFonts w:ascii="Calibri" w:hAnsi="Calibri"/>
          <w:color w:val="282828"/>
          <w:sz w:val="22"/>
        </w:rPr>
        <w:t xml:space="preserve"> : Toutes les tables de la base de données PostgreSQL appliquent une clause d'isolation </w:t>
      </w:r>
      <w:r>
        <w:rPr>
          <w:rFonts w:ascii="Calibri" w:hAnsi="Calibri"/>
          <w:color w:val="282828"/>
          <w:sz w:val="22"/>
        </w:rPr>
        <w:t>auth.uid() = user_id</w:t>
      </w:r>
      <w:r>
        <w:rPr>
          <w:rFonts w:ascii="Calibri" w:hAnsi="Calibri"/>
          <w:color w:val="282828"/>
          <w:sz w:val="22"/>
        </w:rPr>
        <w:t>.</w:t>
      </w:r>
    </w:p>
    <w:p>
      <w:pPr>
        <w:spacing w:before="40" w:after="60" w:line="276" w:lineRule="auto"/>
        <w:ind w:left="360" w:hanging="360"/>
      </w:pPr>
      <w:r>
        <w:rPr>
          <w:rFonts w:ascii="Calibri" w:hAnsi="Calibri"/>
          <w:b/>
          <w:color w:val="C5A059"/>
          <w:sz w:val="22"/>
        </w:rPr>
        <w:t xml:space="preserve">•  </w:t>
      </w:r>
      <w:r>
        <w:rPr>
          <w:rFonts w:ascii="Calibri" w:hAnsi="Calibri"/>
          <w:b/>
          <w:color w:val="282828"/>
          <w:sz w:val="22"/>
        </w:rPr>
        <w:t>Triggers de Télémétrie &amp; Audit</w:t>
      </w:r>
      <w:r>
        <w:rPr>
          <w:rFonts w:ascii="Calibri" w:hAnsi="Calibri"/>
          <w:color w:val="282828"/>
          <w:sz w:val="22"/>
        </w:rPr>
        <w:t xml:space="preserve"> : Table </w:t>
      </w:r>
      <w:r>
        <w:rPr>
          <w:rFonts w:ascii="Calibri" w:hAnsi="Calibri"/>
          <w:color w:val="282828"/>
          <w:sz w:val="22"/>
        </w:rPr>
        <w:t>audit_logs</w:t>
      </w:r>
      <w:r>
        <w:rPr>
          <w:rFonts w:ascii="Calibri" w:hAnsi="Calibri"/>
          <w:color w:val="282828"/>
          <w:sz w:val="22"/>
        </w:rPr>
        <w:t xml:space="preserve"> en append-only qui enregistre les signatures de transactions.</w:t>
      </w:r>
    </w:p>
    <w:p>
      <w:pPr>
        <w:spacing w:before="80" w:after="160" w:line="276" w:lineRule="auto"/>
      </w:pPr>
      <w:r>
        <w:rPr>
          <w:rFonts w:ascii="Calibri" w:hAnsi="Calibri"/>
          <w:color w:val="282828"/>
          <w:sz w:val="22"/>
        </w:rPr>
        <w:t>---</w:t>
      </w:r>
    </w:p>
    <w:p>
      <w:pPr>
        <w:spacing w:before="320" w:after="120" w:line="276" w:lineRule="auto"/>
      </w:pPr>
      <w:r>
        <w:rPr>
          <w:rFonts w:ascii="Georgia" w:hAnsi="Georgia"/>
          <w:b/>
          <w:color w:val="0A0E1A"/>
          <w:sz w:val="30"/>
        </w:rPr>
        <w:t>6. Modèle de Tarification (Pricing Structure)</w:t>
      </w:r>
    </w:p>
    <w:p>
      <w:pPr>
        <w:spacing w:before="80" w:after="160" w:line="276" w:lineRule="auto"/>
      </w:pPr>
      <w:r>
        <w:rPr>
          <w:rFonts w:ascii="Calibri" w:hAnsi="Calibri"/>
          <w:color w:val="282828"/>
          <w:sz w:val="22"/>
        </w:rPr>
        <w:t>La tarification de VeloceWealth est alignée avec la configuration active de production (Stripe API) et les traductions de l'application :</w:t>
      </w:r>
    </w:p>
    <w:tbl>
      <w:tblPr>
        <w:tblW w:type="auto" w:w="0"/>
        <w:tblLayout w:type="autofit"/>
        <w:tblLook w:firstColumn="1" w:firstRow="1" w:lastColumn="0" w:lastRow="0" w:noHBand="0" w:noVBand="1" w:val="04A0"/>
      </w:tblPr>
      <w:tblGrid>
        <w:gridCol w:w="1872"/>
        <w:gridCol w:w="1872"/>
        <w:gridCol w:w="1872"/>
        <w:gridCol w:w="1872"/>
        <w:gridCol w:w="1872"/>
      </w:tblGrid>
      <w:tr>
        <w:tc>
          <w:tcPr>
            <w:tcW w:type="dxa" w:w="1872"/>
            <w:tcMar>
              <w:top w:w="100" w:type="dxa"/>
              <w:bottom w:w="100" w:type="dxa"/>
              <w:left w:w="120" w:type="dxa"/>
              <w:right w:w="120" w:type="dxa"/>
            </w:tcMar>
            <w:shd w:fill="0A0E1A"/>
          </w:tcPr>
          <w:p>
            <w:pPr>
              <w:spacing w:before="80" w:after="80" w:line="276" w:lineRule="auto"/>
              <w:jc w:val="center"/>
            </w:pPr>
            <w:r>
              <w:rPr>
                <w:rFonts w:ascii="Calibri" w:hAnsi="Calibri"/>
                <w:b/>
                <w:color w:val="FDFCF8"/>
                <w:sz w:val="21"/>
              </w:rPr>
              <w:t>Fonctionnalité / Plan</w:t>
            </w:r>
          </w:p>
        </w:tc>
        <w:tc>
          <w:tcPr>
            <w:tcW w:type="dxa" w:w="1872"/>
            <w:tcMar>
              <w:top w:w="100" w:type="dxa"/>
              <w:bottom w:w="100" w:type="dxa"/>
              <w:left w:w="120" w:type="dxa"/>
              <w:right w:w="120" w:type="dxa"/>
            </w:tcMar>
            <w:shd w:fill="0A0E1A"/>
          </w:tcPr>
          <w:p>
            <w:pPr>
              <w:spacing w:before="80" w:after="80" w:line="276" w:lineRule="auto"/>
              <w:jc w:val="center"/>
            </w:pPr>
            <w:r>
              <w:rPr>
                <w:rFonts w:ascii="Calibri" w:hAnsi="Calibri"/>
                <w:b/>
                <w:color w:val="FDFCF8"/>
                <w:sz w:val="21"/>
              </w:rPr>
              <w:t>Standard (Gratuit)</w:t>
            </w:r>
          </w:p>
        </w:tc>
        <w:tc>
          <w:tcPr>
            <w:tcW w:type="dxa" w:w="1872"/>
            <w:tcMar>
              <w:top w:w="100" w:type="dxa"/>
              <w:bottom w:w="100" w:type="dxa"/>
              <w:left w:w="120" w:type="dxa"/>
              <w:right w:w="120" w:type="dxa"/>
            </w:tcMar>
            <w:shd w:fill="0A0E1A"/>
          </w:tcPr>
          <w:p>
            <w:pPr>
              <w:spacing w:before="80" w:after="80" w:line="276" w:lineRule="auto"/>
              <w:jc w:val="center"/>
            </w:pPr>
            <w:r>
              <w:rPr>
                <w:rFonts w:ascii="Calibri" w:hAnsi="Calibri"/>
                <w:b/>
                <w:color w:val="FDFCF8"/>
                <w:sz w:val="21"/>
              </w:rPr>
              <w:t>Pro (9,99€/mois ou 89€/an)</w:t>
            </w:r>
          </w:p>
        </w:tc>
        <w:tc>
          <w:tcPr>
            <w:tcW w:type="dxa" w:w="1872"/>
            <w:tcMar>
              <w:top w:w="100" w:type="dxa"/>
              <w:bottom w:w="100" w:type="dxa"/>
              <w:left w:w="120" w:type="dxa"/>
              <w:right w:w="120" w:type="dxa"/>
            </w:tcMar>
            <w:shd w:fill="0A0E1A"/>
          </w:tcPr>
          <w:p>
            <w:pPr>
              <w:spacing w:before="80" w:after="80" w:line="276" w:lineRule="auto"/>
              <w:jc w:val="center"/>
            </w:pPr>
            <w:r>
              <w:rPr>
                <w:rFonts w:ascii="Calibri" w:hAnsi="Calibri"/>
                <w:b/>
                <w:color w:val="FDFCF8"/>
                <w:sz w:val="21"/>
              </w:rPr>
              <w:t>Fleet (19,99€/mois ou 199€/an)</w:t>
            </w:r>
          </w:p>
        </w:tc>
        <w:tc>
          <w:tcPr>
            <w:tcW w:type="dxa" w:w="1872"/>
            <w:tcMar>
              <w:top w:w="100" w:type="dxa"/>
              <w:bottom w:w="100" w:type="dxa"/>
              <w:left w:w="120" w:type="dxa"/>
              <w:right w:w="120" w:type="dxa"/>
            </w:tcMar>
            <w:shd w:fill="0A0E1A"/>
          </w:tcPr>
          <w:p>
            <w:pPr>
              <w:spacing w:before="80" w:after="80" w:line="276" w:lineRule="auto"/>
              <w:jc w:val="center"/>
            </w:pPr>
            <w:r>
              <w:rPr>
                <w:rFonts w:ascii="Calibri" w:hAnsi="Calibri"/>
                <w:b/>
                <w:color w:val="FDFCF8"/>
                <w:sz w:val="21"/>
              </w:rPr>
              <w:t>Garage Partenaire (49€/mois)</w:t>
            </w:r>
          </w:p>
        </w:tc>
      </w:tr>
      <w:tr>
        <w:tc>
          <w:tcPr>
            <w:tcW w:type="dxa" w:w="1872"/>
            <w:tcMar>
              <w:top w:w="100" w:type="dxa"/>
              <w:bottom w:w="100" w:type="dxa"/>
              <w:left w:w="120" w:type="dxa"/>
              <w:right w:w="120" w:type="dxa"/>
            </w:tcMar>
            <w:shd w:fill="F7F7F9"/>
          </w:tcPr>
          <w:p>
            <w:pPr>
              <w:spacing w:before="80" w:after="80" w:line="276" w:lineRule="auto"/>
            </w:pPr>
            <w:r>
              <w:rPr>
                <w:rFonts w:ascii="Calibri" w:hAnsi="Calibri"/>
                <w:b/>
                <w:color w:val="282828"/>
                <w:sz w:val="20"/>
              </w:rPr>
              <w:t>Nombre de véhicules</w:t>
            </w:r>
          </w:p>
        </w:tc>
        <w:tc>
          <w:tcPr>
            <w:tcW w:type="dxa" w:w="1872"/>
            <w:tcMar>
              <w:top w:w="100" w:type="dxa"/>
              <w:bottom w:w="100" w:type="dxa"/>
              <w:left w:w="120" w:type="dxa"/>
              <w:right w:w="120" w:type="dxa"/>
            </w:tcMar>
            <w:shd w:fill="F7F7F9"/>
          </w:tcPr>
          <w:p>
            <w:pPr>
              <w:spacing w:before="80" w:after="80" w:line="276" w:lineRule="auto"/>
              <w:jc w:val="center"/>
            </w:pPr>
            <w:r>
              <w:rPr>
                <w:rFonts w:ascii="Calibri" w:hAnsi="Calibri"/>
                <w:color w:val="282828"/>
                <w:sz w:val="20"/>
              </w:rPr>
              <w:t>1</w:t>
            </w:r>
          </w:p>
        </w:tc>
        <w:tc>
          <w:tcPr>
            <w:tcW w:type="dxa" w:w="1872"/>
            <w:tcMar>
              <w:top w:w="100" w:type="dxa"/>
              <w:bottom w:w="100" w:type="dxa"/>
              <w:left w:w="120" w:type="dxa"/>
              <w:right w:w="120" w:type="dxa"/>
            </w:tcMar>
            <w:shd w:fill="F7F7F9"/>
          </w:tcPr>
          <w:p>
            <w:pPr>
              <w:spacing w:before="80" w:after="80" w:line="276" w:lineRule="auto"/>
              <w:jc w:val="center"/>
            </w:pPr>
            <w:r>
              <w:rPr>
                <w:rFonts w:ascii="Calibri" w:hAnsi="Calibri"/>
                <w:color w:val="282828"/>
                <w:sz w:val="20"/>
              </w:rPr>
              <w:t>Illimité</w:t>
            </w:r>
          </w:p>
        </w:tc>
        <w:tc>
          <w:tcPr>
            <w:tcW w:type="dxa" w:w="1872"/>
            <w:tcMar>
              <w:top w:w="100" w:type="dxa"/>
              <w:bottom w:w="100" w:type="dxa"/>
              <w:left w:w="120" w:type="dxa"/>
              <w:right w:w="120" w:type="dxa"/>
            </w:tcMar>
            <w:shd w:fill="F7F7F9"/>
          </w:tcPr>
          <w:p>
            <w:pPr>
              <w:spacing w:before="80" w:after="80" w:line="276" w:lineRule="auto"/>
            </w:pPr>
            <w:r>
              <w:rPr>
                <w:rFonts w:ascii="Calibri" w:hAnsi="Calibri"/>
                <w:color w:val="282828"/>
                <w:sz w:val="20"/>
              </w:rPr>
              <w:t>Jusqu'à 5 (par compte)</w:t>
            </w:r>
          </w:p>
        </w:tc>
        <w:tc>
          <w:tcPr>
            <w:tcW w:type="dxa" w:w="1872"/>
            <w:tcMar>
              <w:top w:w="100" w:type="dxa"/>
              <w:bottom w:w="100" w:type="dxa"/>
              <w:left w:w="120" w:type="dxa"/>
              <w:right w:w="120" w:type="dxa"/>
            </w:tcMar>
            <w:shd w:fill="F7F7F9"/>
          </w:tcPr>
          <w:p>
            <w:pPr>
              <w:spacing w:before="80" w:after="80" w:line="276" w:lineRule="auto"/>
            </w:pPr>
            <w:r>
              <w:rPr>
                <w:rFonts w:ascii="Calibri" w:hAnsi="Calibri"/>
                <w:color w:val="282828"/>
                <w:sz w:val="20"/>
              </w:rPr>
              <w:t>Non applicable</w:t>
            </w:r>
          </w:p>
        </w:tc>
      </w:tr>
      <w:tr>
        <w:tc>
          <w:tcPr>
            <w:tcW w:type="dxa" w:w="1872"/>
            <w:tcMar>
              <w:top w:w="100" w:type="dxa"/>
              <w:bottom w:w="100" w:type="dxa"/>
              <w:left w:w="120" w:type="dxa"/>
              <w:right w:w="120" w:type="dxa"/>
            </w:tcMar>
          </w:tcPr>
          <w:p>
            <w:pPr>
              <w:spacing w:before="80" w:after="80" w:line="276" w:lineRule="auto"/>
            </w:pPr>
            <w:r>
              <w:rPr>
                <w:rFonts w:ascii="Calibri" w:hAnsi="Calibri"/>
                <w:b/>
                <w:color w:val="282828"/>
                <w:sz w:val="20"/>
              </w:rPr>
              <w:t>Requêtes OCR /mois</w:t>
            </w:r>
          </w:p>
        </w:tc>
        <w:tc>
          <w:tcPr>
            <w:tcW w:type="dxa" w:w="1872"/>
            <w:tcMar>
              <w:top w:w="100" w:type="dxa"/>
              <w:bottom w:w="100" w:type="dxa"/>
              <w:left w:w="120" w:type="dxa"/>
              <w:right w:w="120" w:type="dxa"/>
            </w:tcMar>
          </w:tcPr>
          <w:p>
            <w:pPr>
              <w:spacing w:before="80" w:after="80" w:line="276" w:lineRule="auto"/>
              <w:jc w:val="center"/>
            </w:pPr>
            <w:r>
              <w:rPr>
                <w:rFonts w:ascii="Calibri" w:hAnsi="Calibri"/>
                <w:color w:val="282828"/>
                <w:sz w:val="20"/>
              </w:rPr>
              <w:t>3 offertes</w:t>
            </w:r>
          </w:p>
        </w:tc>
        <w:tc>
          <w:tcPr>
            <w:tcW w:type="dxa" w:w="1872"/>
            <w:tcMar>
              <w:top w:w="100" w:type="dxa"/>
              <w:bottom w:w="100" w:type="dxa"/>
              <w:left w:w="120" w:type="dxa"/>
              <w:right w:w="120" w:type="dxa"/>
            </w:tcMar>
          </w:tcPr>
          <w:p>
            <w:pPr>
              <w:spacing w:before="80" w:after="80" w:line="276" w:lineRule="auto"/>
              <w:jc w:val="center"/>
            </w:pPr>
            <w:r>
              <w:rPr>
                <w:rFonts w:ascii="Calibri" w:hAnsi="Calibri"/>
                <w:color w:val="282828"/>
                <w:sz w:val="20"/>
              </w:rPr>
              <w:t>Illimité</w:t>
            </w:r>
          </w:p>
        </w:tc>
        <w:tc>
          <w:tcPr>
            <w:tcW w:type="dxa" w:w="1872"/>
            <w:tcMar>
              <w:top w:w="100" w:type="dxa"/>
              <w:bottom w:w="100" w:type="dxa"/>
              <w:left w:w="120" w:type="dxa"/>
              <w:right w:w="120" w:type="dxa"/>
            </w:tcMar>
          </w:tcPr>
          <w:p>
            <w:pPr>
              <w:spacing w:before="80" w:after="80" w:line="276" w:lineRule="auto"/>
              <w:jc w:val="center"/>
            </w:pPr>
            <w:r>
              <w:rPr>
                <w:rFonts w:ascii="Calibri" w:hAnsi="Calibri"/>
                <w:color w:val="282828"/>
                <w:sz w:val="20"/>
              </w:rPr>
              <w:t>Illimité</w:t>
            </w:r>
          </w:p>
        </w:tc>
        <w:tc>
          <w:tcPr>
            <w:tcW w:type="dxa" w:w="1872"/>
            <w:tcMar>
              <w:top w:w="100" w:type="dxa"/>
              <w:bottom w:w="100" w:type="dxa"/>
              <w:left w:w="120" w:type="dxa"/>
              <w:right w:w="120" w:type="dxa"/>
            </w:tcMar>
          </w:tcPr>
          <w:p>
            <w:pPr>
              <w:spacing w:before="80" w:after="80" w:line="276" w:lineRule="auto"/>
            </w:pPr>
            <w:r>
              <w:rPr>
                <w:rFonts w:ascii="Calibri" w:hAnsi="Calibri"/>
                <w:color w:val="282828"/>
                <w:sz w:val="20"/>
              </w:rPr>
              <w:t>Non applicable</w:t>
            </w:r>
          </w:p>
        </w:tc>
      </w:tr>
      <w:tr>
        <w:tc>
          <w:tcPr>
            <w:tcW w:type="dxa" w:w="1872"/>
            <w:tcMar>
              <w:top w:w="100" w:type="dxa"/>
              <w:bottom w:w="100" w:type="dxa"/>
              <w:left w:w="120" w:type="dxa"/>
              <w:right w:w="120" w:type="dxa"/>
            </w:tcMar>
            <w:shd w:fill="F7F7F9"/>
          </w:tcPr>
          <w:p>
            <w:pPr>
              <w:spacing w:before="80" w:after="80" w:line="276" w:lineRule="auto"/>
            </w:pPr>
            <w:r>
              <w:rPr>
                <w:rFonts w:ascii="Calibri" w:hAnsi="Calibri"/>
                <w:b/>
                <w:color w:val="282828"/>
                <w:sz w:val="20"/>
              </w:rPr>
              <w:t>Carnet d'entretien certifié</w:t>
            </w:r>
          </w:p>
        </w:tc>
        <w:tc>
          <w:tcPr>
            <w:tcW w:type="dxa" w:w="1872"/>
            <w:tcMar>
              <w:top w:w="100" w:type="dxa"/>
              <w:bottom w:w="100" w:type="dxa"/>
              <w:left w:w="120" w:type="dxa"/>
              <w:right w:w="120" w:type="dxa"/>
            </w:tcMar>
            <w:shd w:fill="F7F7F9"/>
          </w:tcPr>
          <w:p>
            <w:pPr>
              <w:spacing w:before="80" w:after="80" w:line="276" w:lineRule="auto"/>
            </w:pPr>
            <w:r>
              <w:rPr>
                <w:rFonts w:ascii="Calibri" w:hAnsi="Calibri"/>
                <w:color w:val="282828"/>
                <w:sz w:val="20"/>
              </w:rPr>
              <w:t>Non (manuel)</w:t>
            </w:r>
          </w:p>
        </w:tc>
        <w:tc>
          <w:tcPr>
            <w:tcW w:type="dxa" w:w="1872"/>
            <w:tcMar>
              <w:top w:w="100" w:type="dxa"/>
              <w:bottom w:w="100" w:type="dxa"/>
              <w:left w:w="120" w:type="dxa"/>
              <w:right w:w="120" w:type="dxa"/>
            </w:tcMar>
            <w:shd w:fill="F7F7F9"/>
          </w:tcPr>
          <w:p>
            <w:pPr>
              <w:spacing w:before="80" w:after="80" w:line="276" w:lineRule="auto"/>
            </w:pPr>
            <w:r>
              <w:rPr>
                <w:rFonts w:ascii="Calibri" w:hAnsi="Calibri"/>
                <w:color w:val="282828"/>
                <w:sz w:val="20"/>
              </w:rPr>
              <w:t>Oui (PDF exportable)</w:t>
            </w:r>
          </w:p>
        </w:tc>
        <w:tc>
          <w:tcPr>
            <w:tcW w:type="dxa" w:w="1872"/>
            <w:tcMar>
              <w:top w:w="100" w:type="dxa"/>
              <w:bottom w:w="100" w:type="dxa"/>
              <w:left w:w="120" w:type="dxa"/>
              <w:right w:w="120" w:type="dxa"/>
            </w:tcMar>
            <w:shd w:fill="F7F7F9"/>
          </w:tcPr>
          <w:p>
            <w:pPr>
              <w:spacing w:before="80" w:after="80" w:line="276" w:lineRule="auto"/>
            </w:pPr>
            <w:r>
              <w:rPr>
                <w:rFonts w:ascii="Calibri" w:hAnsi="Calibri"/>
                <w:color w:val="282828"/>
                <w:sz w:val="20"/>
              </w:rPr>
              <w:t>Oui (Toutes les fonctions Pro)</w:t>
            </w:r>
          </w:p>
        </w:tc>
        <w:tc>
          <w:tcPr>
            <w:tcW w:type="dxa" w:w="1872"/>
            <w:tcMar>
              <w:top w:w="100" w:type="dxa"/>
              <w:bottom w:w="100" w:type="dxa"/>
              <w:left w:w="120" w:type="dxa"/>
              <w:right w:w="120" w:type="dxa"/>
            </w:tcMar>
            <w:shd w:fill="F7F7F9"/>
          </w:tcPr>
          <w:p>
            <w:pPr>
              <w:spacing w:before="80" w:after="80" w:line="276" w:lineRule="auto"/>
            </w:pPr>
            <w:r>
              <w:rPr>
                <w:rFonts w:ascii="Calibri" w:hAnsi="Calibri"/>
                <w:color w:val="282828"/>
                <w:sz w:val="20"/>
              </w:rPr>
              <w:t>Non applicable</w:t>
            </w:r>
          </w:p>
        </w:tc>
      </w:tr>
      <w:tr>
        <w:tc>
          <w:tcPr>
            <w:tcW w:type="dxa" w:w="1872"/>
            <w:tcMar>
              <w:top w:w="100" w:type="dxa"/>
              <w:bottom w:w="100" w:type="dxa"/>
              <w:left w:w="120" w:type="dxa"/>
              <w:right w:w="120" w:type="dxa"/>
            </w:tcMar>
          </w:tcPr>
          <w:p>
            <w:pPr>
              <w:spacing w:before="80" w:after="80" w:line="276" w:lineRule="auto"/>
            </w:pPr>
            <w:r>
              <w:rPr>
                <w:rFonts w:ascii="Calibri" w:hAnsi="Calibri"/>
                <w:b/>
                <w:color w:val="282828"/>
                <w:sz w:val="20"/>
              </w:rPr>
              <w:t>Suivi TCO &amp; Alertes PHM</w:t>
            </w:r>
          </w:p>
        </w:tc>
        <w:tc>
          <w:tcPr>
            <w:tcW w:type="dxa" w:w="1872"/>
            <w:tcMar>
              <w:top w:w="100" w:type="dxa"/>
              <w:bottom w:w="100" w:type="dxa"/>
              <w:left w:w="120" w:type="dxa"/>
              <w:right w:w="120" w:type="dxa"/>
            </w:tcMar>
          </w:tcPr>
          <w:p>
            <w:pPr>
              <w:spacing w:before="80" w:after="80" w:line="276" w:lineRule="auto"/>
            </w:pPr>
            <w:r>
              <w:rPr>
                <w:rFonts w:ascii="Calibri" w:hAnsi="Calibri"/>
                <w:color w:val="282828"/>
                <w:sz w:val="20"/>
              </w:rPr>
              <w:t>Rappels de base / Carte</w:t>
            </w:r>
          </w:p>
        </w:tc>
        <w:tc>
          <w:tcPr>
            <w:tcW w:type="dxa" w:w="1872"/>
            <w:tcMar>
              <w:top w:w="100" w:type="dxa"/>
              <w:bottom w:w="100" w:type="dxa"/>
              <w:left w:w="120" w:type="dxa"/>
              <w:right w:w="120" w:type="dxa"/>
            </w:tcMar>
          </w:tcPr>
          <w:p>
            <w:pPr>
              <w:spacing w:before="80" w:after="80" w:line="276" w:lineRule="auto"/>
            </w:pPr>
            <w:r>
              <w:rPr>
                <w:rFonts w:ascii="Calibri" w:hAnsi="Calibri"/>
                <w:color w:val="282828"/>
                <w:sz w:val="20"/>
              </w:rPr>
              <w:t>Oui (TCO complet + PHM)</w:t>
            </w:r>
          </w:p>
        </w:tc>
        <w:tc>
          <w:tcPr>
            <w:tcW w:type="dxa" w:w="1872"/>
            <w:tcMar>
              <w:top w:w="100" w:type="dxa"/>
              <w:bottom w:w="100" w:type="dxa"/>
              <w:left w:w="120" w:type="dxa"/>
              <w:right w:w="120" w:type="dxa"/>
            </w:tcMar>
          </w:tcPr>
          <w:p>
            <w:pPr>
              <w:spacing w:before="80" w:after="80" w:line="276" w:lineRule="auto"/>
            </w:pPr>
            <w:r>
              <w:rPr>
                <w:rFonts w:ascii="Calibri" w:hAnsi="Calibri"/>
                <w:color w:val="282828"/>
                <w:sz w:val="20"/>
              </w:rPr>
              <w:t>Oui (TCO complet + PHM)</w:t>
            </w:r>
          </w:p>
        </w:tc>
        <w:tc>
          <w:tcPr>
            <w:tcW w:type="dxa" w:w="1872"/>
            <w:tcMar>
              <w:top w:w="100" w:type="dxa"/>
              <w:bottom w:w="100" w:type="dxa"/>
              <w:left w:w="120" w:type="dxa"/>
              <w:right w:w="120" w:type="dxa"/>
            </w:tcMar>
          </w:tcPr>
          <w:p>
            <w:pPr>
              <w:spacing w:before="80" w:after="80" w:line="276" w:lineRule="auto"/>
            </w:pPr>
            <w:r>
              <w:rPr>
                <w:rFonts w:ascii="Calibri" w:hAnsi="Calibri"/>
                <w:color w:val="282828"/>
                <w:sz w:val="20"/>
              </w:rPr>
              <w:t>Non applicable</w:t>
            </w:r>
          </w:p>
        </w:tc>
      </w:tr>
      <w:tr>
        <w:tc>
          <w:tcPr>
            <w:tcW w:type="dxa" w:w="1872"/>
            <w:tcMar>
              <w:top w:w="100" w:type="dxa"/>
              <w:bottom w:w="100" w:type="dxa"/>
              <w:left w:w="120" w:type="dxa"/>
              <w:right w:w="120" w:type="dxa"/>
            </w:tcMar>
            <w:shd w:fill="F7F7F9"/>
          </w:tcPr>
          <w:p>
            <w:pPr>
              <w:spacing w:before="80" w:after="80" w:line="276" w:lineRule="auto"/>
            </w:pPr>
            <w:r>
              <w:rPr>
                <w:rFonts w:ascii="Calibri" w:hAnsi="Calibri"/>
                <w:b/>
                <w:color w:val="282828"/>
                <w:sz w:val="20"/>
              </w:rPr>
              <w:t>Export Fiscal (Frais réels)</w:t>
            </w:r>
          </w:p>
        </w:tc>
        <w:tc>
          <w:tcPr>
            <w:tcW w:type="dxa" w:w="1872"/>
            <w:tcMar>
              <w:top w:w="100" w:type="dxa"/>
              <w:bottom w:w="100" w:type="dxa"/>
              <w:left w:w="120" w:type="dxa"/>
              <w:right w:w="120" w:type="dxa"/>
            </w:tcMar>
            <w:shd w:fill="F7F7F9"/>
          </w:tcPr>
          <w:p>
            <w:pPr>
              <w:spacing w:before="80" w:after="80" w:line="276" w:lineRule="auto"/>
              <w:jc w:val="center"/>
            </w:pPr>
            <w:r>
              <w:rPr>
                <w:rFonts w:ascii="Calibri" w:hAnsi="Calibri"/>
                <w:color w:val="282828"/>
                <w:sz w:val="20"/>
              </w:rPr>
              <w:t>Non</w:t>
            </w:r>
          </w:p>
        </w:tc>
        <w:tc>
          <w:tcPr>
            <w:tcW w:type="dxa" w:w="1872"/>
            <w:tcMar>
              <w:top w:w="100" w:type="dxa"/>
              <w:bottom w:w="100" w:type="dxa"/>
              <w:left w:w="120" w:type="dxa"/>
              <w:right w:w="120" w:type="dxa"/>
            </w:tcMar>
            <w:shd w:fill="F7F7F9"/>
          </w:tcPr>
          <w:p>
            <w:pPr>
              <w:spacing w:before="80" w:after="80" w:line="276" w:lineRule="auto"/>
              <w:jc w:val="center"/>
            </w:pPr>
            <w:r>
              <w:rPr>
                <w:rFonts w:ascii="Calibri" w:hAnsi="Calibri"/>
                <w:color w:val="282828"/>
                <w:sz w:val="20"/>
              </w:rPr>
              <w:t>Oui</w:t>
            </w:r>
          </w:p>
        </w:tc>
        <w:tc>
          <w:tcPr>
            <w:tcW w:type="dxa" w:w="1872"/>
            <w:tcMar>
              <w:top w:w="100" w:type="dxa"/>
              <w:bottom w:w="100" w:type="dxa"/>
              <w:left w:w="120" w:type="dxa"/>
              <w:right w:w="120" w:type="dxa"/>
            </w:tcMar>
            <w:shd w:fill="F7F7F9"/>
          </w:tcPr>
          <w:p>
            <w:pPr>
              <w:spacing w:before="80" w:after="80" w:line="276" w:lineRule="auto"/>
              <w:jc w:val="center"/>
            </w:pPr>
            <w:r>
              <w:rPr>
                <w:rFonts w:ascii="Calibri" w:hAnsi="Calibri"/>
                <w:color w:val="282828"/>
                <w:sz w:val="20"/>
              </w:rPr>
              <w:t>Oui</w:t>
            </w:r>
          </w:p>
        </w:tc>
        <w:tc>
          <w:tcPr>
            <w:tcW w:type="dxa" w:w="1872"/>
            <w:tcMar>
              <w:top w:w="100" w:type="dxa"/>
              <w:bottom w:w="100" w:type="dxa"/>
              <w:left w:w="120" w:type="dxa"/>
              <w:right w:w="120" w:type="dxa"/>
            </w:tcMar>
            <w:shd w:fill="F7F7F9"/>
          </w:tcPr>
          <w:p>
            <w:pPr>
              <w:spacing w:before="80" w:after="80" w:line="276" w:lineRule="auto"/>
            </w:pPr>
            <w:r>
              <w:rPr>
                <w:rFonts w:ascii="Calibri" w:hAnsi="Calibri"/>
                <w:color w:val="282828"/>
                <w:sz w:val="20"/>
              </w:rPr>
              <w:t>Non applicable</w:t>
            </w:r>
          </w:p>
        </w:tc>
      </w:tr>
      <w:tr>
        <w:tc>
          <w:tcPr>
            <w:tcW w:type="dxa" w:w="1872"/>
            <w:tcMar>
              <w:top w:w="100" w:type="dxa"/>
              <w:bottom w:w="100" w:type="dxa"/>
              <w:left w:w="120" w:type="dxa"/>
              <w:right w:w="120" w:type="dxa"/>
            </w:tcMar>
          </w:tcPr>
          <w:p>
            <w:pPr>
              <w:spacing w:before="80" w:after="80" w:line="276" w:lineRule="auto"/>
            </w:pPr>
            <w:r>
              <w:rPr>
                <w:rFonts w:ascii="Calibri" w:hAnsi="Calibri"/>
                <w:b/>
                <w:color w:val="282828"/>
                <w:sz w:val="20"/>
              </w:rPr>
              <w:t>Gestion &amp; Comptes</w:t>
            </w:r>
          </w:p>
        </w:tc>
        <w:tc>
          <w:tcPr>
            <w:tcW w:type="dxa" w:w="1872"/>
            <w:tcMar>
              <w:top w:w="100" w:type="dxa"/>
              <w:bottom w:w="100" w:type="dxa"/>
              <w:left w:w="120" w:type="dxa"/>
              <w:right w:w="120" w:type="dxa"/>
            </w:tcMar>
          </w:tcPr>
          <w:p>
            <w:pPr>
              <w:spacing w:before="80" w:after="80" w:line="276" w:lineRule="auto"/>
            </w:pPr>
            <w:r>
              <w:rPr>
                <w:rFonts w:ascii="Calibri" w:hAnsi="Calibri"/>
                <w:color w:val="282828"/>
                <w:sz w:val="20"/>
              </w:rPr>
              <w:t>Individuel</w:t>
            </w:r>
          </w:p>
        </w:tc>
        <w:tc>
          <w:tcPr>
            <w:tcW w:type="dxa" w:w="1872"/>
            <w:tcMar>
              <w:top w:w="100" w:type="dxa"/>
              <w:bottom w:w="100" w:type="dxa"/>
              <w:left w:w="120" w:type="dxa"/>
              <w:right w:w="120" w:type="dxa"/>
            </w:tcMar>
          </w:tcPr>
          <w:p>
            <w:pPr>
              <w:spacing w:before="80" w:after="80" w:line="276" w:lineRule="auto"/>
            </w:pPr>
            <w:r>
              <w:rPr>
                <w:rFonts w:ascii="Calibri" w:hAnsi="Calibri"/>
                <w:color w:val="282828"/>
                <w:sz w:val="20"/>
              </w:rPr>
              <w:t>Individuel</w:t>
            </w:r>
          </w:p>
        </w:tc>
        <w:tc>
          <w:tcPr>
            <w:tcW w:type="dxa" w:w="1872"/>
            <w:tcMar>
              <w:top w:w="100" w:type="dxa"/>
              <w:bottom w:w="100" w:type="dxa"/>
              <w:left w:w="120" w:type="dxa"/>
              <w:right w:w="120" w:type="dxa"/>
            </w:tcMar>
          </w:tcPr>
          <w:p>
            <w:pPr>
              <w:spacing w:before="80" w:after="80" w:line="276" w:lineRule="auto"/>
            </w:pPr>
            <w:r>
              <w:rPr>
                <w:rFonts w:ascii="Calibri" w:hAnsi="Calibri"/>
                <w:color w:val="282828"/>
                <w:sz w:val="20"/>
              </w:rPr>
              <w:t>Multi-comptes / Consolidé</w:t>
            </w:r>
          </w:p>
        </w:tc>
        <w:tc>
          <w:tcPr>
            <w:tcW w:type="dxa" w:w="1872"/>
            <w:tcMar>
              <w:top w:w="100" w:type="dxa"/>
              <w:bottom w:w="100" w:type="dxa"/>
              <w:left w:w="120" w:type="dxa"/>
              <w:right w:w="120" w:type="dxa"/>
            </w:tcMar>
          </w:tcPr>
          <w:p>
            <w:pPr>
              <w:spacing w:before="80" w:after="80" w:line="276" w:lineRule="auto"/>
            </w:pPr>
            <w:r>
              <w:rPr>
                <w:rFonts w:ascii="Calibri" w:hAnsi="Calibri"/>
                <w:color w:val="282828"/>
                <w:sz w:val="20"/>
              </w:rPr>
              <w:t>Non applicable</w:t>
            </w:r>
          </w:p>
        </w:tc>
      </w:tr>
      <w:tr>
        <w:tc>
          <w:tcPr>
            <w:tcW w:type="dxa" w:w="1872"/>
            <w:tcMar>
              <w:top w:w="100" w:type="dxa"/>
              <w:bottom w:w="100" w:type="dxa"/>
              <w:left w:w="120" w:type="dxa"/>
              <w:right w:w="120" w:type="dxa"/>
            </w:tcMar>
            <w:shd w:fill="F7F7F9"/>
          </w:tcPr>
          <w:p>
            <w:pPr>
              <w:spacing w:before="80" w:after="80" w:line="276" w:lineRule="auto"/>
            </w:pPr>
            <w:r>
              <w:rPr>
                <w:rFonts w:ascii="Calibri" w:hAnsi="Calibri"/>
                <w:b/>
                <w:color w:val="282828"/>
                <w:sz w:val="20"/>
              </w:rPr>
              <w:t>Visibilité &amp; Profil Carte</w:t>
            </w:r>
          </w:p>
        </w:tc>
        <w:tc>
          <w:tcPr>
            <w:tcW w:type="dxa" w:w="1872"/>
            <w:tcMar>
              <w:top w:w="100" w:type="dxa"/>
              <w:bottom w:w="100" w:type="dxa"/>
              <w:left w:w="120" w:type="dxa"/>
              <w:right w:w="120" w:type="dxa"/>
            </w:tcMar>
            <w:shd w:fill="F7F7F9"/>
          </w:tcPr>
          <w:p>
            <w:pPr>
              <w:spacing w:before="80" w:after="80" w:line="276" w:lineRule="auto"/>
              <w:jc w:val="center"/>
            </w:pPr>
            <w:r>
              <w:rPr>
                <w:rFonts w:ascii="Calibri" w:hAnsi="Calibri"/>
                <w:color w:val="282828"/>
                <w:sz w:val="20"/>
              </w:rPr>
              <w:t>Non</w:t>
            </w:r>
          </w:p>
        </w:tc>
        <w:tc>
          <w:tcPr>
            <w:tcW w:type="dxa" w:w="1872"/>
            <w:tcMar>
              <w:top w:w="100" w:type="dxa"/>
              <w:bottom w:w="100" w:type="dxa"/>
              <w:left w:w="120" w:type="dxa"/>
              <w:right w:w="120" w:type="dxa"/>
            </w:tcMar>
            <w:shd w:fill="F7F7F9"/>
          </w:tcPr>
          <w:p>
            <w:pPr>
              <w:spacing w:before="80" w:after="80" w:line="276" w:lineRule="auto"/>
              <w:jc w:val="center"/>
            </w:pPr>
            <w:r>
              <w:rPr>
                <w:rFonts w:ascii="Calibri" w:hAnsi="Calibri"/>
                <w:color w:val="282828"/>
                <w:sz w:val="20"/>
              </w:rPr>
              <w:t>Non</w:t>
            </w:r>
          </w:p>
        </w:tc>
        <w:tc>
          <w:tcPr>
            <w:tcW w:type="dxa" w:w="1872"/>
            <w:tcMar>
              <w:top w:w="100" w:type="dxa"/>
              <w:bottom w:w="100" w:type="dxa"/>
              <w:left w:w="120" w:type="dxa"/>
              <w:right w:w="120" w:type="dxa"/>
            </w:tcMar>
            <w:shd w:fill="F7F7F9"/>
          </w:tcPr>
          <w:p>
            <w:pPr>
              <w:spacing w:before="80" w:after="80" w:line="276" w:lineRule="auto"/>
              <w:jc w:val="center"/>
            </w:pPr>
            <w:r>
              <w:rPr>
                <w:rFonts w:ascii="Calibri" w:hAnsi="Calibri"/>
                <w:color w:val="282828"/>
                <w:sz w:val="20"/>
              </w:rPr>
              <w:t>Non</w:t>
            </w:r>
          </w:p>
        </w:tc>
        <w:tc>
          <w:tcPr>
            <w:tcW w:type="dxa" w:w="1872"/>
            <w:tcMar>
              <w:top w:w="100" w:type="dxa"/>
              <w:bottom w:w="100" w:type="dxa"/>
              <w:left w:w="120" w:type="dxa"/>
              <w:right w:w="120" w:type="dxa"/>
            </w:tcMar>
            <w:shd w:fill="F7F7F9"/>
          </w:tcPr>
          <w:p>
            <w:pPr>
              <w:spacing w:before="80" w:after="80" w:line="276" w:lineRule="auto"/>
            </w:pPr>
            <w:r>
              <w:rPr>
                <w:rFonts w:ascii="Calibri" w:hAnsi="Calibri"/>
                <w:color w:val="282828"/>
                <w:sz w:val="20"/>
              </w:rPr>
              <w:t>Oui (Profil enrichi)</w:t>
            </w:r>
          </w:p>
        </w:tc>
      </w:tr>
      <w:tr>
        <w:tc>
          <w:tcPr>
            <w:tcW w:type="dxa" w:w="1872"/>
            <w:tcMar>
              <w:top w:w="100" w:type="dxa"/>
              <w:bottom w:w="100" w:type="dxa"/>
              <w:left w:w="120" w:type="dxa"/>
              <w:right w:w="120" w:type="dxa"/>
            </w:tcMar>
          </w:tcPr>
          <w:p>
            <w:pPr>
              <w:spacing w:before="80" w:after="80" w:line="276" w:lineRule="auto"/>
            </w:pPr>
            <w:r>
              <w:rPr>
                <w:rFonts w:ascii="Calibri" w:hAnsi="Calibri"/>
                <w:b/>
                <w:color w:val="282828"/>
                <w:sz w:val="20"/>
              </w:rPr>
              <w:t>Génération de leads &amp; RDV</w:t>
            </w:r>
          </w:p>
        </w:tc>
        <w:tc>
          <w:tcPr>
            <w:tcW w:type="dxa" w:w="1872"/>
            <w:tcMar>
              <w:top w:w="100" w:type="dxa"/>
              <w:bottom w:w="100" w:type="dxa"/>
              <w:left w:w="120" w:type="dxa"/>
              <w:right w:w="120" w:type="dxa"/>
            </w:tcMar>
          </w:tcPr>
          <w:p>
            <w:pPr>
              <w:spacing w:before="80" w:after="80" w:line="276" w:lineRule="auto"/>
              <w:jc w:val="center"/>
            </w:pPr>
            <w:r>
              <w:rPr>
                <w:rFonts w:ascii="Calibri" w:hAnsi="Calibri"/>
                <w:color w:val="282828"/>
                <w:sz w:val="20"/>
              </w:rPr>
              <w:t>Non</w:t>
            </w:r>
          </w:p>
        </w:tc>
        <w:tc>
          <w:tcPr>
            <w:tcW w:type="dxa" w:w="1872"/>
            <w:tcMar>
              <w:top w:w="100" w:type="dxa"/>
              <w:bottom w:w="100" w:type="dxa"/>
              <w:left w:w="120" w:type="dxa"/>
              <w:right w:w="120" w:type="dxa"/>
            </w:tcMar>
          </w:tcPr>
          <w:p>
            <w:pPr>
              <w:spacing w:before="80" w:after="80" w:line="276" w:lineRule="auto"/>
              <w:jc w:val="center"/>
            </w:pPr>
            <w:r>
              <w:rPr>
                <w:rFonts w:ascii="Calibri" w:hAnsi="Calibri"/>
                <w:color w:val="282828"/>
                <w:sz w:val="20"/>
              </w:rPr>
              <w:t>Non</w:t>
            </w:r>
          </w:p>
        </w:tc>
        <w:tc>
          <w:tcPr>
            <w:tcW w:type="dxa" w:w="1872"/>
            <w:tcMar>
              <w:top w:w="100" w:type="dxa"/>
              <w:bottom w:w="100" w:type="dxa"/>
              <w:left w:w="120" w:type="dxa"/>
              <w:right w:w="120" w:type="dxa"/>
            </w:tcMar>
          </w:tcPr>
          <w:p>
            <w:pPr>
              <w:spacing w:before="80" w:after="80" w:line="276" w:lineRule="auto"/>
              <w:jc w:val="center"/>
            </w:pPr>
            <w:r>
              <w:rPr>
                <w:rFonts w:ascii="Calibri" w:hAnsi="Calibri"/>
                <w:color w:val="282828"/>
                <w:sz w:val="20"/>
              </w:rPr>
              <w:t>Non</w:t>
            </w:r>
          </w:p>
        </w:tc>
        <w:tc>
          <w:tcPr>
            <w:tcW w:type="dxa" w:w="1872"/>
            <w:tcMar>
              <w:top w:w="100" w:type="dxa"/>
              <w:bottom w:w="100" w:type="dxa"/>
              <w:left w:w="120" w:type="dxa"/>
              <w:right w:w="120" w:type="dxa"/>
            </w:tcMar>
          </w:tcPr>
          <w:p>
            <w:pPr>
              <w:spacing w:before="80" w:after="80" w:line="276" w:lineRule="auto"/>
            </w:pPr>
            <w:r>
              <w:rPr>
                <w:rFonts w:ascii="Calibri" w:hAnsi="Calibri"/>
                <w:color w:val="282828"/>
                <w:sz w:val="20"/>
              </w:rPr>
              <w:t>Oui (Prise de RDV intégrée)</w:t>
            </w:r>
          </w:p>
        </w:tc>
      </w:tr>
    </w:tbl>
    <w:p>
      <w:pPr>
        <w:spacing w:before="0" w:after="240" w:line="276" w:lineRule="auto"/>
      </w:pPr>
    </w:p>
    <w:p>
      <w:pPr>
        <w:spacing w:before="120" w:after="160" w:line="276" w:lineRule="auto"/>
        <w:ind w:left="576"/>
      </w:pPr>
    </w:p>
    <w:tbl>
      <w:tblPr>
        <w:tblW w:type="auto" w:w="0"/>
        <w:tblLayout w:type="fixed"/>
        <w:tblLook w:firstColumn="1" w:firstRow="1" w:lastColumn="0" w:lastRow="0" w:noHBand="0" w:noVBand="1" w:val="04A0"/>
      </w:tblPr>
      <w:tblGrid>
        <w:gridCol w:w="8064"/>
      </w:tblGrid>
      <w:tr>
        <w:tc>
          <w:tcPr>
            <w:tcW w:type="dxa" w:w="9360"/>
            <w:shd w:fill="F7F7F9"/>
            <w:tcMar>
              <w:top w:w="80" w:type="dxa"/>
              <w:bottom w:w="80" w:type="dxa"/>
              <w:left w:w="120" w:type="dxa"/>
              <w:right w:w="120" w:type="dxa"/>
            </w:tcMar>
            <w:tcBorders>
              <w:left w:val="single" w:sz="36" w:space="0" w:color="0A0E1A"/>
              <w:top w:val="none"/>
              <w:bottom w:val="none"/>
              <w:right w:val="none"/>
            </w:tcBorders>
          </w:tcPr>
          <w:p>
            <w:pPr>
              <w:spacing w:before="40" w:after="40" w:line="276" w:lineRule="auto"/>
            </w:pPr>
            <w:r>
              <w:rPr>
                <w:rFonts w:ascii="Calibri" w:hAnsi="Calibri"/>
                <w:b/>
                <w:color w:val="0A0E1A"/>
                <w:sz w:val="21"/>
              </w:rPr>
              <w:t xml:space="preserve">📝 NOTE : </w:t>
            </w:r>
          </w:p>
        </w:tc>
      </w:tr>
    </w:tbl>
    <w:p>
      <w:pPr>
        <w:spacing w:before="120" w:after="160" w:line="276" w:lineRule="auto"/>
        <w:ind w:left="576"/>
      </w:pPr>
    </w:p>
    <w:tbl>
      <w:tblPr>
        <w:tblW w:type="auto" w:w="0"/>
        <w:tblLayout w:type="fixed"/>
        <w:tblLook w:firstColumn="1" w:firstRow="1" w:lastColumn="0" w:lastRow="0" w:noHBand="0" w:noVBand="1" w:val="04A0"/>
      </w:tblPr>
      <w:tblGrid>
        <w:gridCol w:w="8064"/>
      </w:tblGrid>
      <w:tr>
        <w:tc>
          <w:tcPr>
            <w:tcW w:type="dxa" w:w="9360"/>
            <w:shd w:fill="F7F7F9"/>
            <w:tcMar>
              <w:top w:w="80" w:type="dxa"/>
              <w:bottom w:w="80" w:type="dxa"/>
              <w:left w:w="120" w:type="dxa"/>
              <w:right w:w="120" w:type="dxa"/>
            </w:tcMar>
            <w:tcBorders>
              <w:left w:val="single" w:sz="36" w:space="0" w:color="C5A059"/>
              <w:top w:val="none"/>
              <w:bottom w:val="none"/>
              <w:right w:val="none"/>
            </w:tcBorders>
          </w:tcPr>
          <w:p>
            <w:pPr>
              <w:spacing w:before="40" w:after="40" w:line="276" w:lineRule="auto"/>
            </w:pPr>
            <w:r>
              <w:rPr>
                <w:rFonts w:ascii="Calibri" w:hAnsi="Calibri"/>
                <w:b/>
                <w:color w:val="0A0E1A"/>
                <w:sz w:val="21"/>
              </w:rPr>
              <w:t xml:space="preserve">ℹ️ </w:t>
            </w:r>
            <w:r>
              <w:rPr>
                <w:rFonts w:ascii="Calibri" w:hAnsi="Calibri"/>
                <w:i/>
                <w:color w:val="282828"/>
                <w:sz w:val="21"/>
              </w:rPr>
              <w:t xml:space="preserve">Tous les prix sont exprimés en TTC. La taxe est calculée automatiquement selon le pays de résidence de l'utilisateur grâce à l'intégration de </w:t>
            </w:r>
            <w:r>
              <w:rPr>
                <w:rFonts w:ascii="Calibri" w:hAnsi="Calibri"/>
                <w:b/>
                <w:i/>
                <w:color w:val="282828"/>
                <w:sz w:val="21"/>
              </w:rPr>
              <w:t>Stripe Tax</w:t>
            </w:r>
            <w:r>
              <w:rPr>
                <w:rFonts w:ascii="Calibri" w:hAnsi="Calibri"/>
                <w:i/>
                <w:color w:val="282828"/>
                <w:sz w:val="21"/>
              </w:rPr>
              <w:t xml:space="preserve"> en production. Une réduction de </w:t>
            </w:r>
            <w:r>
              <w:rPr>
                <w:rFonts w:ascii="Calibri" w:hAnsi="Calibri"/>
                <w:b/>
                <w:i/>
                <w:color w:val="282828"/>
                <w:sz w:val="21"/>
              </w:rPr>
              <w:t>-25%</w:t>
            </w:r>
            <w:r>
              <w:rPr>
                <w:rFonts w:ascii="Calibri" w:hAnsi="Calibri"/>
                <w:i/>
                <w:color w:val="282828"/>
                <w:sz w:val="21"/>
              </w:rPr>
              <w:t xml:space="preserve"> est appliquée sur les engagements annuels du plan Pro (89€/an) et Fleet (199€/an).</w:t>
            </w:r>
          </w:p>
        </w:tc>
      </w:tr>
    </w:tbl>
    <w:p>
      <w:pPr>
        <w:spacing w:before="80" w:after="160" w:line="276" w:lineRule="auto"/>
      </w:pPr>
      <w:r>
        <w:rPr>
          <w:rFonts w:ascii="Calibri" w:hAnsi="Calibri"/>
          <w:color w:val="282828"/>
          <w:sz w:val="22"/>
        </w:rPr>
        <w:t>---</w:t>
      </w:r>
    </w:p>
    <w:p>
      <w:pPr>
        <w:spacing w:before="320" w:after="120" w:line="276" w:lineRule="auto"/>
      </w:pPr>
      <w:r>
        <w:rPr>
          <w:rFonts w:ascii="Georgia" w:hAnsi="Georgia"/>
          <w:b/>
          <w:color w:val="0A0E1A"/>
          <w:sz w:val="30"/>
        </w:rPr>
        <w:t>7. Plan de Test &amp; Recette Produit</w:t>
      </w:r>
    </w:p>
    <w:p>
      <w:pPr>
        <w:spacing w:before="80" w:after="160" w:line="276" w:lineRule="auto"/>
      </w:pPr>
      <w:r>
        <w:rPr>
          <w:rFonts w:ascii="Calibri" w:hAnsi="Calibri"/>
          <w:color w:val="282828"/>
          <w:sz w:val="22"/>
        </w:rPr>
        <w:t>Avant chaque publication en production, la plateforme valide le cycle suivant :</w:t>
      </w:r>
    </w:p>
    <w:p>
      <w:pPr>
        <w:spacing w:before="40" w:after="60" w:line="276" w:lineRule="auto"/>
        <w:ind w:left="360" w:hanging="360"/>
      </w:pPr>
      <w:r>
        <w:rPr>
          <w:rFonts w:ascii="Calibri" w:hAnsi="Calibri"/>
          <w:b/>
          <w:color w:val="C5A059"/>
          <w:sz w:val="22"/>
        </w:rPr>
        <w:t xml:space="preserve">•  </w:t>
      </w:r>
      <w:r>
        <w:rPr>
          <w:rFonts w:ascii="Calibri" w:hAnsi="Calibri"/>
          <w:b/>
          <w:color w:val="282828"/>
          <w:sz w:val="22"/>
        </w:rPr>
        <w:t>Tests Unitaires (Vitest)</w:t>
      </w:r>
      <w:r>
        <w:rPr>
          <w:rFonts w:ascii="Calibri" w:hAnsi="Calibri"/>
          <w:color w:val="282828"/>
          <w:sz w:val="22"/>
        </w:rPr>
        <w:t xml:space="preserve"> : Couverture complète des modules critiques (</w:t>
      </w:r>
      <w:r>
        <w:rPr>
          <w:rFonts w:ascii="Calibri" w:hAnsi="Calibri"/>
          <w:color w:val="282828"/>
          <w:sz w:val="22"/>
        </w:rPr>
        <w:t>lib/computations.ts</w:t>
      </w:r>
      <w:r>
        <w:rPr>
          <w:rFonts w:ascii="Calibri" w:hAnsi="Calibri"/>
          <w:color w:val="282828"/>
          <w:sz w:val="22"/>
        </w:rPr>
        <w:t xml:space="preserve">, </w:t>
      </w:r>
      <w:r>
        <w:rPr>
          <w:rFonts w:ascii="Calibri" w:hAnsi="Calibri"/>
          <w:color w:val="282828"/>
          <w:sz w:val="22"/>
        </w:rPr>
        <w:t>lib/validators/*</w:t>
      </w:r>
      <w:r>
        <w:rPr>
          <w:rFonts w:ascii="Calibri" w:hAnsi="Calibri"/>
          <w:color w:val="282828"/>
          <w:sz w:val="22"/>
        </w:rPr>
        <w:t>).</w:t>
      </w:r>
    </w:p>
    <w:p>
      <w:pPr>
        <w:spacing w:before="40" w:after="60" w:line="276" w:lineRule="auto"/>
        <w:ind w:left="360" w:hanging="360"/>
      </w:pPr>
      <w:r>
        <w:rPr>
          <w:rFonts w:ascii="Calibri" w:hAnsi="Calibri"/>
          <w:b/>
          <w:color w:val="C5A059"/>
          <w:sz w:val="22"/>
        </w:rPr>
        <w:t xml:space="preserve">•  </w:t>
      </w:r>
      <w:r>
        <w:rPr>
          <w:rFonts w:ascii="Calibri" w:hAnsi="Calibri"/>
          <w:b/>
          <w:color w:val="282828"/>
          <w:sz w:val="22"/>
        </w:rPr>
        <w:t>Tests E2E (Playwright)</w:t>
      </w:r>
      <w:r>
        <w:rPr>
          <w:rFonts w:ascii="Calibri" w:hAnsi="Calibri"/>
          <w:color w:val="282828"/>
          <w:sz w:val="22"/>
        </w:rPr>
        <w:t xml:space="preserve"> : Simulation complète du parcours utilisateur (authentification, création de véhicule, validation du checkout Stripe, navigation multilingue).</w:t>
      </w:r>
    </w:p>
    <w:p>
      <w:pPr>
        <w:spacing w:before="40" w:after="60" w:line="276" w:lineRule="auto"/>
        <w:ind w:left="360" w:hanging="360"/>
      </w:pPr>
      <w:r>
        <w:rPr>
          <w:rFonts w:ascii="Calibri" w:hAnsi="Calibri"/>
          <w:b/>
          <w:color w:val="C5A059"/>
          <w:sz w:val="22"/>
        </w:rPr>
        <w:t xml:space="preserve">•  </w:t>
      </w:r>
      <w:r>
        <w:rPr>
          <w:rFonts w:ascii="Calibri" w:hAnsi="Calibri"/>
          <w:b/>
          <w:color w:val="282828"/>
          <w:sz w:val="22"/>
        </w:rPr>
        <w:t>RLS Security Audit</w:t>
      </w:r>
      <w:r>
        <w:rPr>
          <w:rFonts w:ascii="Calibri" w:hAnsi="Calibri"/>
          <w:color w:val="282828"/>
          <w:sz w:val="22"/>
        </w:rPr>
        <w:t xml:space="preserve"> : Script automatique (</w:t>
      </w:r>
      <w:r>
        <w:rPr>
          <w:rFonts w:ascii="Calibri" w:hAnsi="Calibri"/>
          <w:color w:val="282828"/>
          <w:sz w:val="22"/>
        </w:rPr>
        <w:t>npm run audit:rls</w:t>
      </w:r>
      <w:r>
        <w:rPr>
          <w:rFonts w:ascii="Calibri" w:hAnsi="Calibri"/>
          <w:color w:val="282828"/>
          <w:sz w:val="22"/>
        </w:rPr>
        <w:t>) effectuant des requêtes croisées entre deux utilisateurs factices pour prouver l'étanchéité absolue de la base de données.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